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C52860">
        <w:rPr>
          <w:rFonts w:ascii="Calibri" w:hAnsi="Calibri" w:cs="Arial"/>
          <w:b/>
          <w:bCs/>
          <w:iCs/>
          <w:color w:val="7F7F7F" w:themeColor="text1" w:themeTint="80"/>
          <w:sz w:val="26"/>
          <w:szCs w:val="26"/>
        </w:rPr>
        <w:t>21</w:t>
      </w:r>
      <w:r w:rsidR="00B91B9B">
        <w:rPr>
          <w:rFonts w:ascii="Calibri" w:hAnsi="Calibri" w:cs="Arial"/>
          <w:b/>
          <w:bCs/>
          <w:iCs/>
          <w:color w:val="7F7F7F" w:themeColor="text1" w:themeTint="80"/>
          <w:sz w:val="26"/>
          <w:szCs w:val="26"/>
        </w:rPr>
        <w:t xml:space="preserve"> </w:t>
      </w:r>
      <w:r w:rsidR="00C52860">
        <w:rPr>
          <w:rFonts w:ascii="Calibri" w:hAnsi="Calibri" w:cs="Arial"/>
          <w:b/>
          <w:bCs/>
          <w:iCs/>
          <w:color w:val="7F7F7F" w:themeColor="text1" w:themeTint="80"/>
          <w:sz w:val="26"/>
          <w:szCs w:val="26"/>
        </w:rPr>
        <w:t>v</w:t>
      </w:r>
      <w:r w:rsidR="00B91B9B">
        <w:rPr>
          <w:rFonts w:ascii="Calibri" w:hAnsi="Calibri" w:cs="Arial"/>
          <w:b/>
          <w:bCs/>
          <w:iCs/>
          <w:color w:val="7F7F7F" w:themeColor="text1" w:themeTint="80"/>
          <w:sz w:val="26"/>
          <w:szCs w:val="26"/>
        </w:rPr>
        <w:t>ei</w:t>
      </w:r>
      <w:r w:rsidR="00C52860">
        <w:rPr>
          <w:rFonts w:ascii="Calibri" w:hAnsi="Calibri" w:cs="Arial"/>
          <w:b/>
          <w:bCs/>
          <w:iCs/>
          <w:color w:val="7F7F7F" w:themeColor="text1" w:themeTint="80"/>
          <w:sz w:val="26"/>
          <w:szCs w:val="26"/>
        </w:rPr>
        <w:t>ntiuno</w:t>
      </w:r>
      <w:r w:rsidR="00B91B9B">
        <w:rPr>
          <w:rFonts w:ascii="Calibri" w:hAnsi="Calibri" w:cs="Arial"/>
          <w:b/>
          <w:bCs/>
          <w:iCs/>
          <w:color w:val="7F7F7F" w:themeColor="text1" w:themeTint="80"/>
          <w:sz w:val="26"/>
          <w:szCs w:val="26"/>
        </w:rPr>
        <w:t xml:space="preserve"> </w:t>
      </w:r>
      <w:r w:rsidR="006D41F4">
        <w:rPr>
          <w:rFonts w:ascii="Calibri" w:hAnsi="Calibri" w:cs="Arial"/>
          <w:b/>
          <w:bCs/>
          <w:iCs/>
          <w:color w:val="7F7F7F" w:themeColor="text1" w:themeTint="80"/>
          <w:sz w:val="26"/>
          <w:szCs w:val="26"/>
        </w:rPr>
        <w:t>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B91B9B">
        <w:rPr>
          <w:rFonts w:ascii="Calibri" w:hAnsi="Calibri" w:cs="Arial"/>
          <w:b/>
          <w:color w:val="7F7F7F" w:themeColor="text1" w:themeTint="80"/>
          <w:sz w:val="26"/>
          <w:szCs w:val="26"/>
        </w:rPr>
        <w:t>812/2015-JN</w:t>
      </w:r>
      <w:r w:rsidRPr="00BF5CA7">
        <w:rPr>
          <w:rFonts w:ascii="Calibri" w:hAnsi="Calibri" w:cs="Arial"/>
          <w:color w:val="7F7F7F" w:themeColor="text1" w:themeTint="80"/>
          <w:sz w:val="26"/>
          <w:szCs w:val="26"/>
        </w:rPr>
        <w:t xml:space="preserve">, promovido por </w:t>
      </w:r>
      <w:r w:rsidR="00792CFC">
        <w:rPr>
          <w:rFonts w:ascii="Calibri" w:hAnsi="Calibri" w:cs="Arial"/>
          <w:color w:val="7F7F7F" w:themeColor="text1" w:themeTint="80"/>
          <w:sz w:val="26"/>
          <w:szCs w:val="26"/>
        </w:rPr>
        <w:t>el ciudadano</w:t>
      </w:r>
      <w:r w:rsidRPr="00BF5CA7">
        <w:rPr>
          <w:rFonts w:ascii="Calibri" w:hAnsi="Calibri" w:cs="Arial"/>
          <w:color w:val="7F7F7F" w:themeColor="text1" w:themeTint="80"/>
          <w:sz w:val="26"/>
          <w:szCs w:val="26"/>
        </w:rPr>
        <w:t xml:space="preserve"> </w:t>
      </w:r>
      <w:r w:rsidR="000540AA">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r w:rsidR="00C52860">
        <w:rPr>
          <w:rFonts w:ascii="Calibri" w:hAnsi="Calibri" w:cs="Arial"/>
          <w:color w:val="7F7F7F" w:themeColor="text1" w:themeTint="80"/>
          <w:sz w:val="26"/>
          <w:szCs w:val="26"/>
        </w:rPr>
        <w:t>.</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bookmarkStart w:id="0" w:name="_GoBack"/>
      <w:bookmarkEnd w:id="0"/>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216FD3">
        <w:rPr>
          <w:rFonts w:ascii="Calibri" w:hAnsi="Calibri" w:cs="Arial"/>
          <w:color w:val="7F7F7F" w:themeColor="text1" w:themeTint="80"/>
          <w:sz w:val="26"/>
          <w:szCs w:val="26"/>
        </w:rPr>
        <w:t>el actor</w:t>
      </w:r>
      <w:r w:rsidR="000022A1">
        <w:rPr>
          <w:rFonts w:ascii="Calibri" w:hAnsi="Calibri" w:cs="Arial"/>
          <w:color w:val="7F7F7F" w:themeColor="text1" w:themeTint="80"/>
          <w:sz w:val="26"/>
          <w:szCs w:val="26"/>
        </w:rPr>
        <w:t xml:space="preserve"> 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B91B9B">
        <w:rPr>
          <w:rFonts w:ascii="Calibri" w:hAnsi="Calibri" w:cs="Arial"/>
          <w:color w:val="7F7F7F" w:themeColor="text1" w:themeTint="80"/>
          <w:sz w:val="26"/>
          <w:szCs w:val="26"/>
        </w:rPr>
        <w:t>1 uno de septiembre</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w:t>
      </w:r>
      <w:r w:rsidR="003A00A0">
        <w:rPr>
          <w:rFonts w:ascii="Calibri" w:hAnsi="Calibri"/>
          <w:color w:val="7F7F7F" w:themeColor="text1" w:themeTint="80"/>
          <w:sz w:val="26"/>
          <w:szCs w:val="26"/>
        </w:rPr>
        <w:t xml:space="preserve"> .</w:t>
      </w:r>
      <w:r w:rsidR="00E31BEB">
        <w:rPr>
          <w:rFonts w:ascii="Calibri" w:hAnsi="Calibri"/>
          <w:color w:val="7F7F7F" w:themeColor="text1" w:themeTint="80"/>
          <w:sz w:val="26"/>
          <w:szCs w:val="26"/>
        </w:rPr>
        <w:t xml:space="preserve"> </w:t>
      </w:r>
    </w:p>
    <w:p w:rsidR="004B3DFC" w:rsidRPr="00BF5CA7" w:rsidRDefault="004B3DFC" w:rsidP="004B3DFC">
      <w:pPr>
        <w:jc w:val="both"/>
        <w:rPr>
          <w:rFonts w:ascii="Calibri" w:hAnsi="Calibri"/>
          <w:b/>
          <w:i/>
          <w:iCs/>
          <w:color w:val="7F7F7F" w:themeColor="text1" w:themeTint="80"/>
          <w:sz w:val="26"/>
          <w:szCs w:val="26"/>
        </w:rPr>
      </w:pPr>
    </w:p>
    <w:p w:rsidR="003A00A0" w:rsidRDefault="004B3DFC" w:rsidP="003A00A0">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w:t>
      </w:r>
      <w:r w:rsidR="005D0C38">
        <w:rPr>
          <w:rFonts w:ascii="Calibri" w:hAnsi="Calibri" w:cs="Calibri"/>
          <w:color w:val="7F7F7F" w:themeColor="text1" w:themeTint="80"/>
          <w:sz w:val="26"/>
          <w:szCs w:val="26"/>
        </w:rPr>
        <w:t>la orden de visita de inspección</w:t>
      </w:r>
      <w:r w:rsidR="005D0C38" w:rsidRPr="00BF5CA7">
        <w:rPr>
          <w:rFonts w:ascii="Calibri" w:hAnsi="Calibri"/>
          <w:color w:val="7F7F7F" w:themeColor="text1" w:themeTint="80"/>
          <w:sz w:val="26"/>
          <w:szCs w:val="26"/>
        </w:rPr>
        <w:t xml:space="preserve"> </w:t>
      </w:r>
      <w:r w:rsidR="005D0C38">
        <w:rPr>
          <w:rFonts w:ascii="Calibri" w:hAnsi="Calibri"/>
          <w:color w:val="7F7F7F" w:themeColor="text1" w:themeTint="80"/>
          <w:sz w:val="26"/>
          <w:szCs w:val="26"/>
        </w:rPr>
        <w:t xml:space="preserve">así como el acta de visita de </w:t>
      </w:r>
      <w:proofErr w:type="gramStart"/>
      <w:r w:rsidR="005D0C38">
        <w:rPr>
          <w:rFonts w:ascii="Calibri" w:hAnsi="Calibri"/>
          <w:color w:val="7F7F7F" w:themeColor="text1" w:themeTint="80"/>
          <w:sz w:val="26"/>
          <w:szCs w:val="26"/>
        </w:rPr>
        <w:t>inspección controvertidas</w:t>
      </w:r>
      <w:proofErr w:type="gramEnd"/>
      <w:r w:rsidRPr="00BF5CA7">
        <w:rPr>
          <w:rFonts w:ascii="Calibri" w:hAnsi="Calibri"/>
          <w:color w:val="7F7F7F" w:themeColor="text1" w:themeTint="80"/>
          <w:sz w:val="26"/>
          <w:szCs w:val="26"/>
        </w:rPr>
        <w:t xml:space="preserve">,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el original de</w:t>
      </w:r>
      <w:r w:rsidR="005D0C38">
        <w:rPr>
          <w:rFonts w:ascii="Calibri" w:hAnsi="Calibri" w:cs="Calibri"/>
          <w:color w:val="7F7F7F" w:themeColor="text1" w:themeTint="80"/>
          <w:sz w:val="26"/>
          <w:szCs w:val="26"/>
        </w:rPr>
        <w:t xml:space="preserve"> la primera y </w:t>
      </w:r>
      <w:r w:rsidRPr="00BF5CA7">
        <w:rPr>
          <w:rFonts w:ascii="Calibri" w:hAnsi="Calibri" w:cs="Calibri"/>
          <w:color w:val="7F7F7F" w:themeColor="text1" w:themeTint="80"/>
          <w:sz w:val="26"/>
          <w:szCs w:val="26"/>
        </w:rPr>
        <w:t xml:space="preserve">la copia al carbón </w:t>
      </w:r>
      <w:r w:rsidRPr="00BF5CA7">
        <w:rPr>
          <w:rFonts w:ascii="Calibri" w:hAnsi="Calibri"/>
          <w:color w:val="7F7F7F" w:themeColor="text1" w:themeTint="80"/>
          <w:sz w:val="26"/>
          <w:szCs w:val="26"/>
        </w:rPr>
        <w:t>de</w:t>
      </w:r>
      <w:r w:rsidR="005D0C38">
        <w:rPr>
          <w:rFonts w:ascii="Calibri" w:hAnsi="Calibri"/>
          <w:color w:val="7F7F7F" w:themeColor="text1" w:themeTint="80"/>
          <w:sz w:val="26"/>
          <w:szCs w:val="26"/>
        </w:rPr>
        <w:t xml:space="preserve"> la segunda. </w:t>
      </w:r>
      <w:r w:rsidR="000022A1">
        <w:rPr>
          <w:rFonts w:ascii="Calibri" w:hAnsi="Calibri"/>
          <w:color w:val="7F7F7F" w:themeColor="text1" w:themeTint="80"/>
          <w:sz w:val="26"/>
          <w:szCs w:val="26"/>
        </w:rPr>
        <w:t xml:space="preserve">Documentos de </w:t>
      </w:r>
      <w:r w:rsidR="000022A1">
        <w:rPr>
          <w:rFonts w:ascii="Calibri" w:hAnsi="Calibri" w:cs="Calibri"/>
          <w:color w:val="7F7F7F" w:themeColor="text1" w:themeTint="80"/>
          <w:sz w:val="26"/>
          <w:szCs w:val="26"/>
        </w:rPr>
        <w:t xml:space="preserve">fecha </w:t>
      </w:r>
      <w:r w:rsidR="00B91B9B">
        <w:rPr>
          <w:rFonts w:ascii="Calibri" w:hAnsi="Calibri" w:cs="Calibri"/>
          <w:color w:val="7F7F7F" w:themeColor="text1" w:themeTint="80"/>
          <w:sz w:val="26"/>
          <w:szCs w:val="26"/>
        </w:rPr>
        <w:t>1 uno de septiembre</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B91B9B">
        <w:rPr>
          <w:rFonts w:ascii="Calibri" w:hAnsi="Calibri"/>
          <w:color w:val="7F7F7F" w:themeColor="text1" w:themeTint="80"/>
          <w:sz w:val="26"/>
          <w:szCs w:val="26"/>
        </w:rPr>
        <w:t>0539</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216FD3">
        <w:rPr>
          <w:rFonts w:ascii="Calibri" w:hAnsi="Calibri"/>
          <w:color w:val="7F7F7F" w:themeColor="text1" w:themeTint="80"/>
          <w:sz w:val="26"/>
          <w:szCs w:val="26"/>
        </w:rPr>
        <w:t>el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E409F8">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A107AD">
        <w:rPr>
          <w:rFonts w:ascii="Calibri" w:hAnsi="Calibri" w:cs="Calibri"/>
          <w:color w:val="7F7F7F" w:themeColor="text1" w:themeTint="80"/>
          <w:sz w:val="26"/>
          <w:szCs w:val="26"/>
        </w:rPr>
        <w:t>0</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A107AD">
        <w:rPr>
          <w:rFonts w:ascii="Calibri" w:hAnsi="Calibri" w:cs="Calibri"/>
          <w:color w:val="7F7F7F" w:themeColor="text1" w:themeTint="80"/>
          <w:sz w:val="26"/>
          <w:szCs w:val="26"/>
        </w:rPr>
        <w:t>iez</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 xml:space="preserve">merecen pleno valor probatorio, conforme lo dispuesto en los artículos 78, 117, 118, 121 y 131 del Código de Procedimiento y Justicia Administrativa para el Estado y los </w:t>
      </w:r>
    </w:p>
    <w:p w:rsidR="003A00A0" w:rsidRDefault="003A00A0" w:rsidP="003A00A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812/2015-JN</w:t>
      </w:r>
    </w:p>
    <w:p w:rsidR="003A00A0" w:rsidRDefault="003A00A0" w:rsidP="003A00A0">
      <w:pPr>
        <w:ind w:firstLine="708"/>
        <w:jc w:val="both"/>
        <w:rPr>
          <w:rFonts w:ascii="Calibri" w:hAnsi="Calibri"/>
          <w:color w:val="7F7F7F" w:themeColor="text1" w:themeTint="80"/>
          <w:sz w:val="26"/>
          <w:szCs w:val="26"/>
        </w:rPr>
      </w:pPr>
    </w:p>
    <w:p w:rsidR="004B3DFC" w:rsidRPr="003A00A0" w:rsidRDefault="004B3DFC" w:rsidP="003A00A0">
      <w:pPr>
        <w:jc w:val="both"/>
        <w:rPr>
          <w:rFonts w:ascii="Calibri" w:hAnsi="Calibri"/>
          <w:color w:val="7F7F7F" w:themeColor="text1" w:themeTint="80"/>
          <w:sz w:val="26"/>
          <w:szCs w:val="26"/>
        </w:rPr>
      </w:pPr>
      <w:r w:rsidRPr="00BF5CA7">
        <w:rPr>
          <w:rFonts w:ascii="Calibri" w:hAnsi="Calibri"/>
          <w:color w:val="7F7F7F" w:themeColor="text1" w:themeTint="80"/>
          <w:sz w:val="26"/>
          <w:szCs w:val="26"/>
        </w:rPr>
        <w:t>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E409F8">
        <w:rPr>
          <w:rFonts w:ascii="Calibri" w:hAnsi="Calibri"/>
          <w:color w:val="7F7F7F" w:themeColor="text1" w:themeTint="80"/>
          <w:sz w:val="26"/>
          <w:szCs w:val="26"/>
        </w:rPr>
        <w:t>haber emitido la orden de visita de inspección q</w:t>
      </w:r>
      <w:r w:rsidR="00105035">
        <w:rPr>
          <w:rFonts w:ascii="Calibri" w:hAnsi="Calibri"/>
          <w:color w:val="7F7F7F" w:themeColor="text1" w:themeTint="80"/>
          <w:sz w:val="26"/>
          <w:szCs w:val="26"/>
        </w:rPr>
        <w:t>ue se controvierte</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3A00A0">
        <w:rPr>
          <w:rFonts w:ascii="Calibri" w:hAnsi="Calibri"/>
          <w:color w:val="7F7F7F" w:themeColor="text1" w:themeTint="80"/>
          <w:sz w:val="26"/>
          <w:szCs w:val="26"/>
        </w:rPr>
        <w:t xml:space="preserve">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w:t>
      </w:r>
      <w:r w:rsidR="005D0C38">
        <w:rPr>
          <w:rFonts w:ascii="Calibri" w:hAnsi="Calibri"/>
          <w:color w:val="7F7F7F" w:themeColor="text1" w:themeTint="80"/>
          <w:sz w:val="26"/>
          <w:szCs w:val="27"/>
        </w:rPr>
        <w:t xml:space="preserve"> antes señalados</w:t>
      </w:r>
      <w:r w:rsidRPr="00BF5CA7">
        <w:rPr>
          <w:rFonts w:ascii="Calibri" w:hAnsi="Calibri"/>
          <w:color w:val="7F7F7F" w:themeColor="text1" w:themeTint="80"/>
          <w:sz w:val="26"/>
          <w:szCs w:val="27"/>
        </w:rPr>
        <w:t xml:space="preserve">. . . . </w:t>
      </w:r>
      <w:r w:rsidRPr="00BF5CA7">
        <w:rPr>
          <w:rFonts w:ascii="Calibri" w:hAnsi="Calibri"/>
          <w:color w:val="7F7F7F" w:themeColor="text1" w:themeTint="80"/>
          <w:sz w:val="26"/>
          <w:szCs w:val="26"/>
        </w:rPr>
        <w:t xml:space="preserve">. . . . . . . . . . . . . . . . . . . . . . . . . . . . </w:t>
      </w:r>
      <w:r w:rsidR="003A00A0">
        <w:rPr>
          <w:rFonts w:ascii="Calibri" w:hAnsi="Calibri"/>
          <w:color w:val="7F7F7F" w:themeColor="text1" w:themeTint="80"/>
          <w:sz w:val="26"/>
          <w:szCs w:val="26"/>
        </w:rPr>
        <w:t xml:space="preserve">. . . </w:t>
      </w:r>
    </w:p>
    <w:p w:rsidR="005D0C38" w:rsidRDefault="005D0C38" w:rsidP="004B3DFC">
      <w:pPr>
        <w:ind w:firstLine="708"/>
        <w:jc w:val="both"/>
        <w:rPr>
          <w:rFonts w:ascii="Calibri" w:hAnsi="Calibri"/>
          <w:color w:val="7F7F7F" w:themeColor="text1" w:themeTint="80"/>
          <w:sz w:val="26"/>
          <w:szCs w:val="26"/>
        </w:rPr>
      </w:pPr>
    </w:p>
    <w:p w:rsidR="005D0C38" w:rsidRPr="005D0C38" w:rsidRDefault="005D0C38" w:rsidP="004B3DFC">
      <w:pPr>
        <w:ind w:firstLine="708"/>
        <w:jc w:val="both"/>
        <w:rPr>
          <w:rFonts w:ascii="Calibri" w:hAnsi="Calibri"/>
          <w:color w:val="7F7F7F" w:themeColor="text1" w:themeTint="80"/>
          <w:sz w:val="26"/>
          <w:szCs w:val="26"/>
        </w:rPr>
      </w:pPr>
      <w:r>
        <w:rPr>
          <w:rFonts w:ascii="Calibri" w:hAnsi="Calibri"/>
          <w:color w:val="7F7F7F" w:themeColor="text1" w:themeTint="80"/>
          <w:sz w:val="26"/>
          <w:szCs w:val="26"/>
        </w:rPr>
        <w:t xml:space="preserve">Por lo que hace a la orden de clausura y el acta circunstanciada de fijación de sellos de clausura, que al decir del actor son de fecha 1 uno de septiembre de </w:t>
      </w:r>
      <w:r>
        <w:rPr>
          <w:rFonts w:ascii="Calibri" w:hAnsi="Calibri"/>
          <w:color w:val="7F7F7F" w:themeColor="text1" w:themeTint="80"/>
          <w:sz w:val="26"/>
          <w:szCs w:val="26"/>
        </w:rPr>
        <w:lastRenderedPageBreak/>
        <w:t xml:space="preserve">2015 dos mil quince y emitidos dentro del expediente DGFC/DT/0539/2015/JA, </w:t>
      </w:r>
      <w:r>
        <w:rPr>
          <w:rFonts w:ascii="Calibri" w:hAnsi="Calibri"/>
          <w:b/>
          <w:color w:val="7F7F7F" w:themeColor="text1" w:themeTint="80"/>
          <w:sz w:val="26"/>
          <w:szCs w:val="26"/>
        </w:rPr>
        <w:t>no se encuentra acreditada</w:t>
      </w:r>
      <w:r>
        <w:rPr>
          <w:rFonts w:ascii="Calibri" w:hAnsi="Calibri"/>
          <w:color w:val="7F7F7F" w:themeColor="text1" w:themeTint="80"/>
          <w:sz w:val="26"/>
          <w:szCs w:val="26"/>
        </w:rPr>
        <w:t xml:space="preserve"> su existencia por no haber sido presentados en el presente proceso administrativo. . . . . . . . . . . . . . . . . . . . . . . . . . .</w:t>
      </w:r>
      <w:r w:rsidR="00346D52">
        <w:rPr>
          <w:rFonts w:ascii="Calibri" w:hAnsi="Calibri"/>
          <w:color w:val="7F7F7F" w:themeColor="text1" w:themeTint="80"/>
          <w:sz w:val="26"/>
          <w:szCs w:val="26"/>
        </w:rPr>
        <w:t xml:space="preserve">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6B6BF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w:t>
      </w:r>
      <w:r w:rsidR="005D0C38">
        <w:rPr>
          <w:rFonts w:ascii="Calibri" w:hAnsi="Calibri"/>
          <w:bCs/>
          <w:iCs/>
          <w:color w:val="7F7F7F" w:themeColor="text1" w:themeTint="80"/>
          <w:sz w:val="26"/>
          <w:szCs w:val="26"/>
        </w:rPr>
        <w:t xml:space="preserve">derivado de lo expuesto en el </w:t>
      </w:r>
      <w:r w:rsidR="006B6BF7">
        <w:rPr>
          <w:rFonts w:ascii="Calibri" w:hAnsi="Calibri"/>
          <w:bCs/>
          <w:iCs/>
          <w:color w:val="7F7F7F" w:themeColor="text1" w:themeTint="80"/>
          <w:sz w:val="26"/>
          <w:szCs w:val="26"/>
        </w:rPr>
        <w:t>último párrafo del considerando inmediato anterior, quien resuelve establece que, respecto de la</w:t>
      </w:r>
      <w:r w:rsidR="00AF43CA">
        <w:rPr>
          <w:rFonts w:ascii="Calibri" w:hAnsi="Calibri"/>
          <w:bCs/>
          <w:iCs/>
          <w:color w:val="7F7F7F" w:themeColor="text1" w:themeTint="80"/>
          <w:sz w:val="26"/>
          <w:szCs w:val="26"/>
        </w:rPr>
        <w:t xml:space="preserve"> orden</w:t>
      </w:r>
      <w:r w:rsidR="006B6BF7">
        <w:rPr>
          <w:rFonts w:ascii="Calibri" w:hAnsi="Calibri"/>
          <w:bCs/>
          <w:iCs/>
          <w:color w:val="7F7F7F" w:themeColor="text1" w:themeTint="80"/>
          <w:sz w:val="26"/>
          <w:szCs w:val="26"/>
        </w:rPr>
        <w:t xml:space="preserve"> de clausura y el acta circunstanciada de fijación de sellos de clausura, controvertidas por el impugnador, </w:t>
      </w:r>
      <w:r w:rsidR="006B6BF7" w:rsidRPr="006B6BF7">
        <w:rPr>
          <w:rFonts w:ascii="Calibri" w:hAnsi="Calibri"/>
          <w:b/>
          <w:bCs/>
          <w:iCs/>
          <w:color w:val="7F7F7F" w:themeColor="text1" w:themeTint="80"/>
          <w:sz w:val="26"/>
          <w:szCs w:val="26"/>
        </w:rPr>
        <w:t>se actualiza</w:t>
      </w:r>
      <w:r w:rsidR="006B6BF7">
        <w:rPr>
          <w:rFonts w:ascii="Calibri" w:hAnsi="Calibri"/>
          <w:bCs/>
          <w:iCs/>
          <w:color w:val="7F7F7F" w:themeColor="text1" w:themeTint="80"/>
          <w:sz w:val="26"/>
          <w:szCs w:val="26"/>
        </w:rPr>
        <w:t xml:space="preserve"> la hipótesis de improcedencia, contenida en la fracción VI del artículo 261 del Código arriba citado, al no estar probada su existencia, pues no fueron exhibidas por cualquiera de las partes, en el presente proceso administrativo. . . .</w:t>
      </w:r>
      <w:r w:rsidR="00346D52">
        <w:rPr>
          <w:rFonts w:ascii="Calibri" w:hAnsi="Calibri"/>
          <w:bCs/>
          <w:iCs/>
          <w:color w:val="7F7F7F" w:themeColor="text1" w:themeTint="80"/>
          <w:sz w:val="26"/>
          <w:szCs w:val="26"/>
        </w:rPr>
        <w:t xml:space="preserve"> . . . . . . . . . . . . . . . . . . . . . . .  . . . . . . . .  . . . . </w:t>
      </w:r>
    </w:p>
    <w:p w:rsidR="006B6BF7" w:rsidRDefault="006B6BF7" w:rsidP="00781737">
      <w:pPr>
        <w:ind w:firstLine="708"/>
        <w:jc w:val="both"/>
        <w:rPr>
          <w:rFonts w:ascii="Calibri" w:hAnsi="Calibri"/>
          <w:bCs/>
          <w:iCs/>
          <w:color w:val="7F7F7F" w:themeColor="text1" w:themeTint="80"/>
          <w:sz w:val="26"/>
          <w:szCs w:val="26"/>
        </w:rPr>
      </w:pPr>
    </w:p>
    <w:p w:rsidR="005D0C38" w:rsidRDefault="006B6BF7" w:rsidP="006B6BF7">
      <w:pPr>
        <w:jc w:val="both"/>
        <w:rPr>
          <w:rFonts w:ascii="Calibri" w:hAnsi="Calibri"/>
          <w:bCs/>
          <w:iCs/>
          <w:color w:val="7F7F7F" w:themeColor="text1" w:themeTint="80"/>
          <w:sz w:val="26"/>
          <w:szCs w:val="26"/>
        </w:rPr>
      </w:pPr>
      <w:r>
        <w:rPr>
          <w:rFonts w:ascii="Calibri" w:hAnsi="Calibri"/>
          <w:bCs/>
          <w:iCs/>
          <w:color w:val="7F7F7F" w:themeColor="text1" w:themeTint="80"/>
          <w:sz w:val="26"/>
          <w:szCs w:val="26"/>
        </w:rPr>
        <w:tab/>
      </w:r>
      <w:r w:rsidR="00432706">
        <w:rPr>
          <w:rFonts w:ascii="Calibri" w:hAnsi="Calibri"/>
          <w:bCs/>
          <w:iCs/>
          <w:color w:val="7F7F7F" w:themeColor="text1" w:themeTint="80"/>
          <w:sz w:val="26"/>
          <w:szCs w:val="26"/>
        </w:rPr>
        <w:t xml:space="preserve">La anterior se corrobora con los acuses de recibo de los escritos, tanto de la demanda como de contestación de la misma, en donde consta que el actor sólo agregó como anexos, el original de la orden de visita de inspección y la copia al carbón de la visita de inspección, mientras que las autoridades demandadas, no anexaron </w:t>
      </w:r>
      <w:r w:rsidR="00346D52">
        <w:rPr>
          <w:rFonts w:ascii="Calibri" w:hAnsi="Calibri"/>
          <w:bCs/>
          <w:iCs/>
          <w:color w:val="7F7F7F" w:themeColor="text1" w:themeTint="80"/>
          <w:sz w:val="26"/>
          <w:szCs w:val="26"/>
        </w:rPr>
        <w:t>documento alguno</w:t>
      </w:r>
      <w:r w:rsidR="00432706">
        <w:rPr>
          <w:rFonts w:ascii="Calibri" w:hAnsi="Calibri"/>
          <w:bCs/>
          <w:iCs/>
          <w:color w:val="7F7F7F" w:themeColor="text1" w:themeTint="80"/>
          <w:sz w:val="26"/>
          <w:szCs w:val="26"/>
        </w:rPr>
        <w:t>. . . . .</w:t>
      </w:r>
      <w:r>
        <w:rPr>
          <w:rFonts w:ascii="Calibri" w:hAnsi="Calibri"/>
          <w:bCs/>
          <w:iCs/>
          <w:color w:val="7F7F7F" w:themeColor="text1" w:themeTint="80"/>
          <w:sz w:val="26"/>
          <w:szCs w:val="26"/>
        </w:rPr>
        <w:t xml:space="preserve"> </w:t>
      </w:r>
      <w:r w:rsidR="00346D52">
        <w:rPr>
          <w:rFonts w:ascii="Calibri" w:hAnsi="Calibri"/>
          <w:bCs/>
          <w:iCs/>
          <w:color w:val="7F7F7F" w:themeColor="text1" w:themeTint="80"/>
          <w:sz w:val="26"/>
          <w:szCs w:val="26"/>
        </w:rPr>
        <w:t xml:space="preserve">. . . . . . . . . . . . . . . . . . . . . . . . . . . . . . . . . . . . . . . . </w:t>
      </w:r>
    </w:p>
    <w:p w:rsidR="00432706" w:rsidRDefault="00432706" w:rsidP="006B6BF7">
      <w:pPr>
        <w:jc w:val="both"/>
        <w:rPr>
          <w:rFonts w:ascii="Calibri" w:hAnsi="Calibri"/>
          <w:bCs/>
          <w:iCs/>
          <w:color w:val="7F7F7F" w:themeColor="text1" w:themeTint="80"/>
          <w:sz w:val="26"/>
          <w:szCs w:val="26"/>
        </w:rPr>
      </w:pPr>
    </w:p>
    <w:p w:rsidR="005D0C38" w:rsidRDefault="00432706" w:rsidP="00AF43CA">
      <w:pPr>
        <w:jc w:val="both"/>
        <w:rPr>
          <w:rFonts w:ascii="Calibri" w:hAnsi="Calibri"/>
          <w:bCs/>
          <w:iCs/>
          <w:color w:val="7F7F7F" w:themeColor="text1" w:themeTint="80"/>
          <w:sz w:val="26"/>
          <w:szCs w:val="26"/>
        </w:rPr>
      </w:pPr>
      <w:r>
        <w:rPr>
          <w:rFonts w:ascii="Calibri" w:hAnsi="Calibri"/>
          <w:bCs/>
          <w:iCs/>
          <w:color w:val="7F7F7F" w:themeColor="text1" w:themeTint="80"/>
          <w:sz w:val="26"/>
          <w:szCs w:val="26"/>
        </w:rPr>
        <w:tab/>
        <w:t xml:space="preserve">Así las cosas, al actualizarse la causal de improcedencia </w:t>
      </w:r>
      <w:r w:rsidR="00AF43CA">
        <w:rPr>
          <w:rFonts w:ascii="Calibri" w:hAnsi="Calibri"/>
          <w:bCs/>
          <w:iCs/>
          <w:color w:val="7F7F7F" w:themeColor="text1" w:themeTint="80"/>
          <w:sz w:val="26"/>
          <w:szCs w:val="26"/>
        </w:rPr>
        <w:t xml:space="preserve">citada, con sustento en la fracción II del artículo 262 del Código de Procedimiento y Justicia Administrativa en vigor en el Estado, lo que procede es </w:t>
      </w:r>
      <w:r w:rsidR="00AF43CA" w:rsidRPr="00AF43CA">
        <w:rPr>
          <w:rFonts w:ascii="Calibri" w:hAnsi="Calibri"/>
          <w:b/>
          <w:bCs/>
          <w:iCs/>
          <w:color w:val="7F7F7F" w:themeColor="text1" w:themeTint="80"/>
          <w:sz w:val="26"/>
          <w:szCs w:val="26"/>
        </w:rPr>
        <w:t>sobreseer</w:t>
      </w:r>
      <w:r w:rsidR="00AF43CA">
        <w:rPr>
          <w:rFonts w:ascii="Calibri" w:hAnsi="Calibri"/>
          <w:b/>
          <w:bCs/>
          <w:iCs/>
          <w:color w:val="7F7F7F" w:themeColor="text1" w:themeTint="80"/>
          <w:sz w:val="26"/>
          <w:szCs w:val="26"/>
        </w:rPr>
        <w:t xml:space="preserve"> </w:t>
      </w:r>
      <w:r w:rsidR="00AF43CA">
        <w:rPr>
          <w:rFonts w:ascii="Calibri" w:hAnsi="Calibri"/>
          <w:bCs/>
          <w:iCs/>
          <w:color w:val="7F7F7F" w:themeColor="text1" w:themeTint="80"/>
          <w:sz w:val="26"/>
          <w:szCs w:val="26"/>
        </w:rPr>
        <w:t xml:space="preserve">el presente proceso respecto de la orden de clausura y el acta circunstanciada de fijación de sellos de clausura impugnadas. . . </w:t>
      </w:r>
      <w:r w:rsidR="00CC120A">
        <w:rPr>
          <w:rFonts w:ascii="Calibri" w:hAnsi="Calibri"/>
          <w:bCs/>
          <w:iCs/>
          <w:color w:val="7F7F7F" w:themeColor="text1" w:themeTint="80"/>
          <w:sz w:val="26"/>
          <w:szCs w:val="26"/>
        </w:rPr>
        <w:t>. . . . . . . . . . . . . . . . . . . . . . . . . . . . . . . . . . . . . . . . .</w:t>
      </w:r>
    </w:p>
    <w:p w:rsidR="00AF43CA" w:rsidRDefault="00AF43CA" w:rsidP="00AF43CA">
      <w:pPr>
        <w:jc w:val="both"/>
        <w:rPr>
          <w:rFonts w:ascii="Calibri" w:hAnsi="Calibri"/>
          <w:bCs/>
          <w:iCs/>
          <w:color w:val="7F7F7F" w:themeColor="text1" w:themeTint="80"/>
          <w:sz w:val="26"/>
          <w:szCs w:val="26"/>
        </w:rPr>
      </w:pPr>
    </w:p>
    <w:p w:rsidR="00781737" w:rsidRPr="00781737" w:rsidRDefault="00AF43CA" w:rsidP="00781737">
      <w:pPr>
        <w:ind w:firstLine="708"/>
        <w:jc w:val="both"/>
        <w:rPr>
          <w:rFonts w:ascii="Calibri" w:hAnsi="Calibri"/>
          <w:bCs/>
          <w:iCs/>
          <w:color w:val="7F7F7F" w:themeColor="text1" w:themeTint="80"/>
          <w:sz w:val="26"/>
          <w:szCs w:val="26"/>
        </w:rPr>
      </w:pPr>
      <w:r>
        <w:rPr>
          <w:rFonts w:ascii="Calibri" w:hAnsi="Calibri"/>
          <w:bCs/>
          <w:iCs/>
          <w:color w:val="7F7F7F" w:themeColor="text1" w:themeTint="80"/>
          <w:sz w:val="26"/>
          <w:szCs w:val="26"/>
        </w:rPr>
        <w:t xml:space="preserve">Por otra parte, </w:t>
      </w:r>
      <w:r w:rsidR="00781737" w:rsidRPr="00781737">
        <w:rPr>
          <w:rFonts w:ascii="Calibri" w:hAnsi="Calibri"/>
          <w:bCs/>
          <w:iCs/>
          <w:color w:val="7F7F7F" w:themeColor="text1" w:themeTint="80"/>
          <w:sz w:val="26"/>
          <w:szCs w:val="26"/>
        </w:rPr>
        <w:t>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grosso modo, que no se afect</w:t>
      </w:r>
      <w:r w:rsidR="00105035">
        <w:rPr>
          <w:rFonts w:ascii="Calibri" w:hAnsi="Calibri"/>
          <w:bCs/>
          <w:iCs/>
          <w:color w:val="7F7F7F" w:themeColor="text1" w:themeTint="80"/>
          <w:sz w:val="26"/>
          <w:szCs w:val="26"/>
        </w:rPr>
        <w:t>a el interés jurídico de</w:t>
      </w:r>
      <w:r w:rsidR="00792CFC">
        <w:rPr>
          <w:rFonts w:ascii="Calibri" w:hAnsi="Calibri"/>
          <w:bCs/>
          <w:iCs/>
          <w:color w:val="7F7F7F" w:themeColor="text1" w:themeTint="80"/>
          <w:sz w:val="26"/>
          <w:szCs w:val="26"/>
        </w:rPr>
        <w:t>l</w:t>
      </w:r>
      <w:r w:rsidR="00781737" w:rsidRPr="00781737">
        <w:rPr>
          <w:rFonts w:ascii="Calibri" w:hAnsi="Calibri"/>
          <w:bCs/>
          <w:iCs/>
          <w:color w:val="7F7F7F" w:themeColor="text1" w:themeTint="80"/>
          <w:sz w:val="26"/>
          <w:szCs w:val="26"/>
        </w:rPr>
        <w:t xml:space="preserve"> impetrante, toda vez que no demuestra ser titular de un derecho subjetivo y que no le asiste ningún derecho que haya sido vulnerado . . . . . . . . . . . . . . . . . . . . . . . . . . . . . . . . . . </w:t>
      </w:r>
      <w:r w:rsidR="00CC120A">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792CFC">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B91B9B">
        <w:rPr>
          <w:rFonts w:ascii="Calibri" w:hAnsi="Calibri"/>
          <w:bCs/>
          <w:iCs/>
          <w:color w:val="7F7F7F" w:themeColor="text1" w:themeTint="80"/>
          <w:sz w:val="26"/>
          <w:szCs w:val="26"/>
        </w:rPr>
        <w:t>0539</w:t>
      </w:r>
      <w:r w:rsidRPr="00781737">
        <w:rPr>
          <w:rFonts w:ascii="Calibri" w:hAnsi="Calibri"/>
          <w:bCs/>
          <w:iCs/>
          <w:color w:val="7F7F7F" w:themeColor="text1" w:themeTint="80"/>
          <w:sz w:val="26"/>
          <w:szCs w:val="26"/>
        </w:rPr>
        <w:t xml:space="preserve">/2015/JA, </w:t>
      </w:r>
      <w:r w:rsidR="00105035" w:rsidRPr="00105035">
        <w:rPr>
          <w:rFonts w:ascii="Calibri" w:hAnsi="Calibri"/>
          <w:bCs/>
          <w:iCs/>
          <w:color w:val="7F7F7F" w:themeColor="text1" w:themeTint="80"/>
          <w:sz w:val="26"/>
          <w:szCs w:val="26"/>
        </w:rPr>
        <w:t xml:space="preserve">mismo en el que, </w:t>
      </w:r>
      <w:r w:rsidR="00E409F8">
        <w:rPr>
          <w:rFonts w:ascii="Calibri" w:hAnsi="Calibri"/>
          <w:bCs/>
          <w:iCs/>
          <w:color w:val="7F7F7F" w:themeColor="text1" w:themeTint="80"/>
          <w:sz w:val="26"/>
          <w:szCs w:val="26"/>
        </w:rPr>
        <w:t xml:space="preserve">eventualmente, se le podría imponer una sanción, </w:t>
      </w:r>
      <w:r w:rsidR="00105035" w:rsidRPr="00105035">
        <w:rPr>
          <w:rFonts w:ascii="Calibri" w:hAnsi="Calibri"/>
          <w:bCs/>
          <w:iCs/>
          <w:color w:val="7F7F7F" w:themeColor="text1" w:themeTint="80"/>
          <w:sz w:val="26"/>
          <w:szCs w:val="26"/>
        </w:rPr>
        <w:t xml:space="preserve">además de que se considera </w:t>
      </w:r>
      <w:r w:rsidR="00105035" w:rsidRPr="00105035">
        <w:rPr>
          <w:rFonts w:ascii="Calibri" w:hAnsi="Calibri"/>
          <w:bCs/>
          <w:iCs/>
          <w:color w:val="7F7F7F" w:themeColor="text1" w:themeTint="80"/>
          <w:sz w:val="26"/>
          <w:szCs w:val="26"/>
        </w:rPr>
        <w:lastRenderedPageBreak/>
        <w:t>que pudiera existir violación al derecho humano al debido proceso; por lo que al no prosperar las causales de improcedencia señaladas, ésta sí se encuentra legitimada para promover el proceso que nos ocupa</w:t>
      </w:r>
      <w:r w:rsidR="00CC120A">
        <w:rPr>
          <w:rFonts w:ascii="Calibri" w:hAnsi="Calibri"/>
          <w:bCs/>
          <w:iCs/>
          <w:color w:val="7F7F7F" w:themeColor="text1" w:themeTint="80"/>
          <w:sz w:val="26"/>
          <w:szCs w:val="26"/>
        </w:rPr>
        <w:t xml:space="preserve"> en contra de la orden de inspección y del acta de visita realizada</w:t>
      </w:r>
      <w:r w:rsidRPr="00781737">
        <w:rPr>
          <w:rFonts w:ascii="Calibri" w:hAnsi="Calibri"/>
          <w:bCs/>
          <w:iCs/>
          <w:color w:val="7F7F7F" w:themeColor="text1" w:themeTint="80"/>
          <w:sz w:val="26"/>
          <w:szCs w:val="26"/>
        </w:rPr>
        <w:t>. . . . . . . . . . . . . . . .</w:t>
      </w:r>
      <w:r w:rsidR="00CC120A">
        <w:rPr>
          <w:rFonts w:ascii="Calibri" w:hAnsi="Calibri"/>
          <w:bCs/>
          <w:iCs/>
          <w:color w:val="7F7F7F" w:themeColor="text1" w:themeTint="80"/>
          <w:sz w:val="26"/>
          <w:szCs w:val="26"/>
        </w:rPr>
        <w:t xml:space="preserve"> . . . . . . . . . . . . . . . . . . . . . . . .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00AF43CA">
        <w:rPr>
          <w:rFonts w:ascii="Calibri" w:hAnsi="Calibri"/>
          <w:bCs/>
          <w:iCs/>
          <w:color w:val="7F7F7F" w:themeColor="text1" w:themeTint="80"/>
          <w:sz w:val="26"/>
          <w:szCs w:val="26"/>
        </w:rPr>
        <w:t xml:space="preserve"> y</w:t>
      </w:r>
      <w:r w:rsidRPr="00E50512">
        <w:rPr>
          <w:rFonts w:ascii="Calibri" w:hAnsi="Calibri"/>
          <w:bCs/>
          <w:iCs/>
          <w:color w:val="7F7F7F" w:themeColor="text1" w:themeTint="80"/>
          <w:sz w:val="26"/>
          <w:szCs w:val="26"/>
        </w:rPr>
        <w:t xml:space="preserve"> el acta de visita de inspección;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E967E5">
        <w:rPr>
          <w:rFonts w:ascii="Calibri" w:hAnsi="Calibri" w:cs="Arial"/>
          <w:color w:val="7F7F7F" w:themeColor="text1" w:themeTint="80"/>
          <w:sz w:val="26"/>
          <w:szCs w:val="26"/>
        </w:rPr>
        <w:t>. . . . . . . . . . . . . . .</w:t>
      </w:r>
    </w:p>
    <w:p w:rsidR="004B3DFC" w:rsidRPr="00BF5CA7" w:rsidRDefault="004B3DFC" w:rsidP="004B3DFC">
      <w:pPr>
        <w:ind w:firstLine="708"/>
        <w:jc w:val="both"/>
        <w:rPr>
          <w:rFonts w:ascii="Calibri" w:hAnsi="Calibri"/>
          <w:color w:val="7F7F7F" w:themeColor="text1" w:themeTint="80"/>
          <w:sz w:val="22"/>
          <w:szCs w:val="26"/>
        </w:rPr>
      </w:pPr>
    </w:p>
    <w:p w:rsidR="00A007A6"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792CF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B91B9B">
        <w:rPr>
          <w:rFonts w:ascii="Calibri" w:hAnsi="Calibri"/>
          <w:color w:val="7F7F7F" w:themeColor="text1" w:themeTint="80"/>
          <w:sz w:val="26"/>
          <w:szCs w:val="26"/>
        </w:rPr>
        <w:t>1 uno de septiembre</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B91B9B">
        <w:rPr>
          <w:rFonts w:ascii="Calibri" w:hAnsi="Calibri"/>
          <w:color w:val="7F7F7F" w:themeColor="text1" w:themeTint="80"/>
          <w:sz w:val="26"/>
          <w:szCs w:val="26"/>
        </w:rPr>
        <w:t>0539</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EE4318">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el número </w:t>
      </w:r>
      <w:r w:rsidR="003239AC">
        <w:rPr>
          <w:rFonts w:ascii="Calibri" w:hAnsi="Calibri"/>
          <w:color w:val="7F7F7F" w:themeColor="text1" w:themeTint="80"/>
          <w:sz w:val="26"/>
          <w:szCs w:val="26"/>
        </w:rPr>
        <w:t>220 doscientos veinte</w:t>
      </w:r>
      <w:r w:rsidRPr="00BF5CA7">
        <w:rPr>
          <w:rFonts w:ascii="Calibri" w:hAnsi="Calibri"/>
          <w:color w:val="7F7F7F" w:themeColor="text1" w:themeTint="80"/>
          <w:sz w:val="26"/>
          <w:szCs w:val="26"/>
        </w:rPr>
        <w:t xml:space="preserve"> de la calle </w:t>
      </w:r>
      <w:r w:rsidR="003239AC">
        <w:rPr>
          <w:rFonts w:ascii="Calibri" w:hAnsi="Calibri"/>
          <w:color w:val="7F7F7F" w:themeColor="text1" w:themeTint="80"/>
          <w:sz w:val="26"/>
          <w:szCs w:val="26"/>
        </w:rPr>
        <w:t>Principal</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de la </w:t>
      </w:r>
      <w:r w:rsidRPr="00BF5CA7">
        <w:rPr>
          <w:rFonts w:ascii="Calibri" w:hAnsi="Calibri"/>
          <w:color w:val="7F7F7F" w:themeColor="text1" w:themeTint="80"/>
          <w:sz w:val="26"/>
          <w:szCs w:val="26"/>
        </w:rPr>
        <w:t xml:space="preserve">colonia </w:t>
      </w:r>
      <w:r w:rsidR="00AE1A6F">
        <w:rPr>
          <w:rFonts w:ascii="Calibri" w:hAnsi="Calibri"/>
          <w:color w:val="7F7F7F" w:themeColor="text1" w:themeTint="80"/>
          <w:sz w:val="26"/>
          <w:szCs w:val="26"/>
        </w:rPr>
        <w:t xml:space="preserve">o comunidad </w:t>
      </w:r>
      <w:r w:rsidR="003239AC">
        <w:rPr>
          <w:rFonts w:ascii="Calibri" w:hAnsi="Calibri"/>
          <w:color w:val="7F7F7F" w:themeColor="text1" w:themeTint="80"/>
          <w:sz w:val="26"/>
          <w:szCs w:val="26"/>
        </w:rPr>
        <w:t>San Juan de Abajo</w:t>
      </w:r>
      <w:r w:rsidR="00FB227A">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de </w:t>
      </w:r>
      <w:r w:rsidR="00AE1A6F">
        <w:rPr>
          <w:rFonts w:ascii="Calibri" w:hAnsi="Calibri"/>
          <w:color w:val="7F7F7F" w:themeColor="text1" w:themeTint="80"/>
          <w:sz w:val="26"/>
          <w:szCs w:val="26"/>
        </w:rPr>
        <w:t>este municipio</w:t>
      </w:r>
      <w:r w:rsidRPr="00BF5CA7">
        <w:rPr>
          <w:rFonts w:ascii="Calibri" w:hAnsi="Calibri"/>
          <w:color w:val="7F7F7F" w:themeColor="text1" w:themeTint="80"/>
          <w:sz w:val="26"/>
          <w:szCs w:val="26"/>
        </w:rPr>
        <w:t xml:space="preserve">; llevando a cabo la visita de inspección; entendiendo la diligencia con </w:t>
      </w:r>
      <w:r w:rsidR="00792CFC">
        <w:rPr>
          <w:rFonts w:ascii="Calibri" w:hAnsi="Calibri"/>
          <w:color w:val="7F7F7F" w:themeColor="text1" w:themeTint="80"/>
          <w:sz w:val="26"/>
          <w:szCs w:val="26"/>
        </w:rPr>
        <w:t>el ciudadano</w:t>
      </w:r>
      <w:r w:rsidRPr="00BF5CA7">
        <w:rPr>
          <w:rFonts w:ascii="Calibri" w:hAnsi="Calibri"/>
          <w:color w:val="7F7F7F" w:themeColor="text1" w:themeTint="80"/>
          <w:sz w:val="26"/>
          <w:szCs w:val="26"/>
        </w:rPr>
        <w:t xml:space="preserve"> ahora actor; procediendo a levantar un acta en la que se hizo constar </w:t>
      </w:r>
    </w:p>
    <w:p w:rsidR="00A007A6" w:rsidRDefault="00A007A6" w:rsidP="00A007A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812/2015-JN</w:t>
      </w:r>
    </w:p>
    <w:p w:rsidR="00A007A6" w:rsidRDefault="00A007A6" w:rsidP="004B3DFC">
      <w:pPr>
        <w:pStyle w:val="Sangra2detindependiente"/>
        <w:rPr>
          <w:rFonts w:ascii="Calibri" w:hAnsi="Calibri"/>
          <w:color w:val="7F7F7F" w:themeColor="text1" w:themeTint="80"/>
          <w:sz w:val="26"/>
          <w:szCs w:val="26"/>
        </w:rPr>
      </w:pPr>
    </w:p>
    <w:p w:rsidR="004B3DFC" w:rsidRPr="00BF5CA7" w:rsidRDefault="004B3DFC" w:rsidP="00A007A6">
      <w:pPr>
        <w:pStyle w:val="Sangra2detindependiente"/>
        <w:ind w:firstLine="0"/>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el</w:t>
      </w:r>
      <w:proofErr w:type="gramEnd"/>
      <w:r w:rsidRPr="00BF5CA7">
        <w:rPr>
          <w:rFonts w:ascii="Calibri" w:hAnsi="Calibri"/>
          <w:color w:val="7F7F7F" w:themeColor="text1" w:themeTint="80"/>
          <w:sz w:val="26"/>
          <w:szCs w:val="26"/>
        </w:rPr>
        <w:t xml:space="preserve">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w:t>
      </w:r>
      <w:r w:rsidR="00A007A6">
        <w:rPr>
          <w:rFonts w:ascii="Calibri" w:hAnsi="Calibri"/>
          <w:color w:val="7F7F7F" w:themeColor="text1" w:themeTint="80"/>
          <w:sz w:val="26"/>
          <w:szCs w:val="26"/>
        </w:rPr>
        <w:t xml:space="preserve">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216FD3">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F5770C">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lastRenderedPageBreak/>
        <w:t xml:space="preserve">            A lo expresado por </w:t>
      </w:r>
      <w:r w:rsidR="00792CFC">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w:t>
      </w:r>
      <w:r w:rsidR="00A107AD">
        <w:rPr>
          <w:rFonts w:ascii="Calibri" w:hAnsi="Calibri" w:cs="Calibri"/>
          <w:iCs/>
          <w:color w:val="7F7F7F" w:themeColor="text1" w:themeTint="80"/>
          <w:sz w:val="26"/>
          <w:szCs w:val="26"/>
        </w:rPr>
        <w:t>,</w:t>
      </w:r>
      <w:r w:rsidRPr="00BF5CA7">
        <w:rPr>
          <w:rFonts w:ascii="Calibri" w:hAnsi="Calibri" w:cs="Calibri"/>
          <w:iCs/>
          <w:color w:val="7F7F7F" w:themeColor="text1" w:themeTint="80"/>
          <w:sz w:val="26"/>
          <w:szCs w:val="26"/>
        </w:rPr>
        <w:t xml:space="preserve"> </w:t>
      </w:r>
      <w:r w:rsidR="00EC7D6A">
        <w:rPr>
          <w:rFonts w:ascii="Calibri" w:hAnsi="Calibri" w:cs="Calibri"/>
          <w:iCs/>
          <w:color w:val="7F7F7F" w:themeColor="text1" w:themeTint="80"/>
          <w:sz w:val="26"/>
          <w:szCs w:val="26"/>
        </w:rPr>
        <w:t>contest</w:t>
      </w:r>
      <w:r w:rsidR="00A107AD">
        <w:rPr>
          <w:rFonts w:ascii="Calibri" w:hAnsi="Calibri" w:cs="Calibri"/>
          <w:iCs/>
          <w:color w:val="7F7F7F" w:themeColor="text1" w:themeTint="80"/>
          <w:sz w:val="26"/>
          <w:szCs w:val="26"/>
        </w:rPr>
        <w:t>ó</w:t>
      </w:r>
      <w:r w:rsidR="00EC7D6A">
        <w:rPr>
          <w:rFonts w:ascii="Calibri" w:hAnsi="Calibri" w:cs="Calibri"/>
          <w:iCs/>
          <w:color w:val="7F7F7F" w:themeColor="text1" w:themeTint="80"/>
          <w:sz w:val="26"/>
          <w:szCs w:val="26"/>
        </w:rPr>
        <w:t xml:space="preserve"> que era legal el procedimiento elaborado y que </w:t>
      </w:r>
      <w:r w:rsidR="00216FD3">
        <w:rPr>
          <w:rFonts w:ascii="Calibri" w:hAnsi="Calibri" w:cs="Calibri"/>
          <w:iCs/>
          <w:color w:val="7F7F7F" w:themeColor="text1" w:themeTint="80"/>
          <w:sz w:val="26"/>
          <w:szCs w:val="26"/>
        </w:rPr>
        <w:t>el</w:t>
      </w:r>
      <w:r w:rsidR="00EC7D6A">
        <w:rPr>
          <w:rFonts w:ascii="Calibri" w:hAnsi="Calibri" w:cs="Calibri"/>
          <w:iCs/>
          <w:color w:val="7F7F7F" w:themeColor="text1" w:themeTint="80"/>
          <w:sz w:val="26"/>
          <w:szCs w:val="26"/>
        </w:rPr>
        <w:t xml:space="preserve"> actor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w:t>
      </w:r>
      <w:r w:rsidR="00F5770C">
        <w:rPr>
          <w:rFonts w:ascii="Calibri" w:hAnsi="Calibri" w:cs="Calibri"/>
          <w:iCs/>
          <w:color w:val="7F7F7F" w:themeColor="text1" w:themeTint="80"/>
          <w:sz w:val="26"/>
          <w:szCs w:val="26"/>
        </w:rPr>
        <w:t xml:space="preserve">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F5770C">
        <w:rPr>
          <w:rFonts w:ascii="Calibri" w:hAnsi="Calibri" w:cs="Calibri"/>
          <w:i/>
          <w:color w:val="7F7F7F" w:themeColor="text1" w:themeTint="80"/>
          <w:sz w:val="26"/>
          <w:szCs w:val="26"/>
        </w:rPr>
        <w:t>“</w:t>
      </w:r>
      <w:proofErr w:type="spellStart"/>
      <w:r w:rsidRPr="00F5770C">
        <w:rPr>
          <w:rFonts w:ascii="Calibri" w:hAnsi="Calibri" w:cs="Calibri"/>
          <w:i/>
          <w:color w:val="7F7F7F" w:themeColor="text1" w:themeTint="80"/>
          <w:sz w:val="26"/>
          <w:szCs w:val="26"/>
        </w:rPr>
        <w:t>litis</w:t>
      </w:r>
      <w:proofErr w:type="spellEnd"/>
      <w:r w:rsidRPr="00F5770C">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B91B9B">
        <w:rPr>
          <w:rFonts w:ascii="Calibri" w:hAnsi="Calibri"/>
          <w:color w:val="7F7F7F" w:themeColor="text1" w:themeTint="80"/>
          <w:sz w:val="26"/>
          <w:szCs w:val="26"/>
        </w:rPr>
        <w:t>1 uno de septiembre</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B91B9B">
        <w:rPr>
          <w:rFonts w:ascii="Calibri" w:hAnsi="Calibri"/>
          <w:color w:val="7F7F7F" w:themeColor="text1" w:themeTint="80"/>
          <w:sz w:val="26"/>
          <w:szCs w:val="26"/>
        </w:rPr>
        <w:t>0539</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AF43CA">
        <w:rPr>
          <w:rFonts w:ascii="Calibri" w:hAnsi="Calibri"/>
          <w:color w:val="7F7F7F" w:themeColor="text1" w:themeTint="80"/>
          <w:sz w:val="26"/>
          <w:szCs w:val="26"/>
        </w:rPr>
        <w:t xml:space="preserve">y, </w:t>
      </w:r>
      <w:r w:rsidRPr="00BF5CA7">
        <w:rPr>
          <w:rFonts w:ascii="Calibri" w:hAnsi="Calibri"/>
          <w:color w:val="7F7F7F" w:themeColor="text1" w:themeTint="80"/>
          <w:sz w:val="26"/>
          <w:szCs w:val="26"/>
        </w:rPr>
        <w:t xml:space="preserve">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w:t>
      </w:r>
      <w:r w:rsidR="00AF43C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 en igual fecha que la orden; así como la procedencia o no del levantamiento de los sellos de clausura de</w:t>
      </w:r>
      <w:r w:rsidR="005D0C38">
        <w:rPr>
          <w:rFonts w:ascii="Calibri" w:hAnsi="Calibri"/>
          <w:color w:val="7F7F7F" w:themeColor="text1" w:themeTint="80"/>
          <w:sz w:val="26"/>
          <w:szCs w:val="26"/>
        </w:rPr>
        <w:t>l mueble</w:t>
      </w:r>
      <w:r w:rsidRPr="00BF5CA7">
        <w:rPr>
          <w:rFonts w:ascii="Calibri" w:hAnsi="Calibri"/>
          <w:color w:val="7F7F7F" w:themeColor="text1" w:themeTint="80"/>
          <w:sz w:val="26"/>
          <w:szCs w:val="26"/>
        </w:rPr>
        <w:t xml:space="preserve"> ubicad</w:t>
      </w:r>
      <w:r w:rsidR="005D0C38">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r w:rsidR="00F5770C">
        <w:rPr>
          <w:rFonts w:ascii="Calibri" w:hAnsi="Calibri" w:cs="Calibri"/>
          <w:iCs/>
          <w:color w:val="7F7F7F" w:themeColor="text1" w:themeTint="80"/>
          <w:sz w:val="26"/>
          <w:szCs w:val="26"/>
        </w:rPr>
        <w:t xml:space="preserve">. . . . . . . . . . . . . . . . . . .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 xml:space="preserve">No existiendo impedimento legal, se procede a analizar los conceptos de impugnación hechos valer por </w:t>
      </w:r>
      <w:r w:rsidR="00216FD3">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justiciable. . . . . . . . . . . . . . . . . . . . </w:t>
      </w:r>
      <w:r w:rsidR="00A12EF4">
        <w:rPr>
          <w:rFonts w:ascii="Calibri" w:hAnsi="Calibri" w:cs="Arial"/>
          <w:color w:val="7F7F7F" w:themeColor="text1" w:themeTint="80"/>
          <w:sz w:val="26"/>
          <w:szCs w:val="26"/>
        </w:rPr>
        <w:t xml:space="preserve">. </w:t>
      </w:r>
    </w:p>
    <w:p w:rsidR="00D77803" w:rsidRDefault="00D77803" w:rsidP="00A12EF4">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792CFC">
        <w:rPr>
          <w:rFonts w:ascii="Calibri" w:hAnsi="Calibri" w:cs="Calibri"/>
          <w:color w:val="7F7F7F" w:themeColor="text1" w:themeTint="80"/>
          <w:sz w:val="26"/>
          <w:szCs w:val="26"/>
        </w:rPr>
        <w:t>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3239AC">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150289">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A12EF4">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lastRenderedPageBreak/>
        <w:t xml:space="preserve">A lo antes reseñado, </w:t>
      </w:r>
      <w:r w:rsidR="00A107AD">
        <w:rPr>
          <w:rFonts w:ascii="Calibri" w:hAnsi="Calibri"/>
          <w:iCs/>
          <w:color w:val="7F7F7F" w:themeColor="text1" w:themeTint="80"/>
          <w:sz w:val="26"/>
          <w:szCs w:val="26"/>
        </w:rPr>
        <w:t>el Director enjuiciado</w:t>
      </w:r>
      <w:r w:rsidRPr="006071F6">
        <w:rPr>
          <w:rFonts w:ascii="Calibri" w:hAnsi="Calibri"/>
          <w:iCs/>
          <w:color w:val="7F7F7F" w:themeColor="text1" w:themeTint="80"/>
          <w:sz w:val="26"/>
          <w:szCs w:val="26"/>
        </w:rPr>
        <w:t>, expres</w:t>
      </w:r>
      <w:r w:rsidR="00A107AD">
        <w:rPr>
          <w:rFonts w:ascii="Calibri" w:hAnsi="Calibri"/>
          <w:iCs/>
          <w:color w:val="7F7F7F" w:themeColor="text1" w:themeTint="80"/>
          <w:sz w:val="26"/>
          <w:szCs w:val="26"/>
        </w:rPr>
        <w:t>ó</w:t>
      </w:r>
      <w:r w:rsidRPr="006071F6">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 xml:space="preserve">que sí es competente la dependencia </w:t>
      </w:r>
      <w:r w:rsidR="00A107AD">
        <w:rPr>
          <w:rFonts w:ascii="Calibri" w:hAnsi="Calibri"/>
          <w:iCs/>
          <w:color w:val="7F7F7F" w:themeColor="text1" w:themeTint="80"/>
          <w:sz w:val="26"/>
          <w:szCs w:val="26"/>
        </w:rPr>
        <w:t xml:space="preserve">a su cargo, </w:t>
      </w:r>
      <w:r w:rsidR="00CF7B38" w:rsidRPr="006071F6">
        <w:rPr>
          <w:rFonts w:ascii="Calibri" w:hAnsi="Calibri"/>
          <w:iCs/>
          <w:color w:val="7F7F7F" w:themeColor="text1" w:themeTint="80"/>
          <w:sz w:val="26"/>
          <w:szCs w:val="26"/>
        </w:rPr>
        <w:t xml:space="preserve">para suscribir dicho documento, </w:t>
      </w:r>
      <w:r w:rsidR="00CF7B38" w:rsidRPr="006071F6">
        <w:rPr>
          <w:rFonts w:ascii="Calibri" w:hAnsi="Calibri"/>
          <w:color w:val="7F7F7F" w:themeColor="text1" w:themeTint="80"/>
          <w:sz w:val="26"/>
          <w:szCs w:val="26"/>
        </w:rPr>
        <w:t>al infringir el artículo 67 fracción IX</w:t>
      </w:r>
      <w:r w:rsidR="00A12EF4">
        <w:rPr>
          <w:rFonts w:ascii="Calibri" w:hAnsi="Calibri"/>
          <w:color w:val="7F7F7F" w:themeColor="text1" w:themeTint="80"/>
          <w:sz w:val="26"/>
          <w:szCs w:val="26"/>
        </w:rPr>
        <w:t xml:space="preserve"> </w:t>
      </w:r>
      <w:r w:rsidR="00A12EF4">
        <w:rPr>
          <w:rFonts w:ascii="Calibri" w:hAnsi="Calibri"/>
          <w:iCs/>
          <w:color w:val="7F7F7F" w:themeColor="text1" w:themeTint="80"/>
          <w:sz w:val="26"/>
          <w:szCs w:val="26"/>
        </w:rPr>
        <w:t xml:space="preserve">del </w:t>
      </w:r>
      <w:r w:rsidR="00A12EF4">
        <w:rPr>
          <w:rFonts w:ascii="Calibri" w:hAnsi="Calibri"/>
          <w:color w:val="7F7F7F" w:themeColor="text1" w:themeTint="80"/>
          <w:sz w:val="26"/>
          <w:szCs w:val="26"/>
        </w:rPr>
        <w:t>Reglamento para el Funcionamiento de Establecimientos Comerciales y de Servicios en el Municipio de León, Guanajuato</w:t>
      </w:r>
      <w:r w:rsidRPr="006071F6">
        <w:rPr>
          <w:rFonts w:ascii="Calibri" w:hAnsi="Calibri"/>
          <w:i/>
          <w:iCs/>
          <w:color w:val="7F7F7F" w:themeColor="text1" w:themeTint="80"/>
          <w:sz w:val="26"/>
          <w:szCs w:val="26"/>
        </w:rPr>
        <w:t xml:space="preserve">. . . . . . . . . . . . . </w:t>
      </w:r>
      <w:r w:rsidR="00A12EF4">
        <w:rPr>
          <w:rFonts w:ascii="Calibri" w:hAnsi="Calibri"/>
          <w:i/>
          <w:iCs/>
          <w:color w:val="7F7F7F" w:themeColor="text1" w:themeTint="80"/>
          <w:sz w:val="26"/>
          <w:szCs w:val="26"/>
        </w:rPr>
        <w:t>. . .</w:t>
      </w:r>
    </w:p>
    <w:p w:rsidR="00E959B2" w:rsidRPr="00A12EF4"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r w:rsidR="00A12EF4">
        <w:rPr>
          <w:rFonts w:asciiTheme="minorHAnsi" w:hAnsiTheme="minorHAnsi"/>
          <w:color w:val="7F7F7F" w:themeColor="text1" w:themeTint="80"/>
          <w:sz w:val="26"/>
          <w:szCs w:val="26"/>
        </w:rPr>
        <w:t>.</w:t>
      </w:r>
    </w:p>
    <w:p w:rsidR="008B6F66" w:rsidRDefault="008B6F66" w:rsidP="005820E3">
      <w:pPr>
        <w:pStyle w:val="Default"/>
        <w:ind w:firstLine="708"/>
        <w:jc w:val="both"/>
        <w:rPr>
          <w:rFonts w:asciiTheme="minorHAnsi" w:hAnsiTheme="minorHAnsi"/>
          <w:color w:val="7F7F7F" w:themeColor="text1" w:themeTint="80"/>
          <w:sz w:val="26"/>
          <w:szCs w:val="26"/>
        </w:rPr>
      </w:pPr>
    </w:p>
    <w:p w:rsidR="00A12EF4" w:rsidRDefault="000954F8" w:rsidP="005820E3">
      <w:pPr>
        <w:pStyle w:val="Default"/>
        <w:ind w:firstLine="708"/>
        <w:jc w:val="both"/>
        <w:rPr>
          <w:rFonts w:asciiTheme="minorHAnsi" w:hAnsiTheme="minorHAnsi"/>
          <w:color w:val="767171" w:themeColor="background2" w:themeShade="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w:t>
      </w:r>
    </w:p>
    <w:p w:rsidR="00A12EF4" w:rsidRDefault="00A12EF4" w:rsidP="00A12EF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812/2015-JN</w:t>
      </w:r>
    </w:p>
    <w:p w:rsidR="00A12EF4" w:rsidRDefault="00A12EF4" w:rsidP="005820E3">
      <w:pPr>
        <w:pStyle w:val="Default"/>
        <w:ind w:firstLine="708"/>
        <w:jc w:val="both"/>
        <w:rPr>
          <w:rFonts w:asciiTheme="minorHAnsi" w:hAnsiTheme="minorHAnsi"/>
          <w:color w:val="767171" w:themeColor="background2" w:themeShade="80"/>
          <w:sz w:val="26"/>
          <w:szCs w:val="26"/>
        </w:rPr>
      </w:pPr>
    </w:p>
    <w:p w:rsidR="008C61C6" w:rsidRPr="00992C9C" w:rsidRDefault="00706056" w:rsidP="00A12EF4">
      <w:pPr>
        <w:pStyle w:val="Default"/>
        <w:jc w:val="both"/>
        <w:rPr>
          <w:rFonts w:asciiTheme="minorHAnsi" w:hAnsiTheme="minorHAnsi"/>
          <w:color w:val="7F7F7F" w:themeColor="text1" w:themeTint="80"/>
          <w:sz w:val="26"/>
          <w:szCs w:val="26"/>
        </w:rPr>
      </w:pPr>
      <w:proofErr w:type="gramStart"/>
      <w:r w:rsidRPr="00833B37">
        <w:rPr>
          <w:rFonts w:asciiTheme="minorHAnsi" w:hAnsiTheme="minorHAnsi"/>
          <w:color w:val="767171" w:themeColor="background2" w:themeShade="80"/>
          <w:sz w:val="26"/>
          <w:szCs w:val="26"/>
        </w:rPr>
        <w:lastRenderedPageBreak/>
        <w:t>que</w:t>
      </w:r>
      <w:proofErr w:type="gramEnd"/>
      <w:r w:rsidRPr="00833B37">
        <w:rPr>
          <w:rFonts w:asciiTheme="minorHAnsi" w:hAnsiTheme="minorHAnsi"/>
          <w:color w:val="767171" w:themeColor="background2" w:themeShade="80"/>
          <w:sz w:val="26"/>
          <w:szCs w:val="26"/>
        </w:rPr>
        <w:t xml:space="preserv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343E70"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A12EF4">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w:t>
      </w:r>
      <w:r w:rsidR="00562A66" w:rsidRPr="00562A66">
        <w:rPr>
          <w:rFonts w:ascii="Calibri" w:hAnsi="Calibri" w:cs="Calibri"/>
          <w:b w:val="0"/>
          <w:bCs w:val="0"/>
          <w:iCs/>
          <w:color w:val="7F7F7F" w:themeColor="text1" w:themeTint="80"/>
          <w:sz w:val="26"/>
          <w:szCs w:val="26"/>
          <w:lang w:val="es-MX"/>
        </w:rPr>
        <w:lastRenderedPageBreak/>
        <w:t>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EC3871">
        <w:rPr>
          <w:rFonts w:ascii="Calibri" w:hAnsi="Calibri" w:cs="Calibri"/>
          <w:b w:val="0"/>
          <w:bCs w:val="0"/>
          <w:iCs/>
          <w:color w:val="7F7F7F" w:themeColor="text1" w:themeTint="80"/>
          <w:sz w:val="26"/>
          <w:szCs w:val="26"/>
          <w:lang w:val="es-MX"/>
        </w:rPr>
        <w:t xml:space="preserve">. . . . . .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w:t>
      </w:r>
      <w:r w:rsidRPr="00EB2E59">
        <w:rPr>
          <w:rFonts w:asciiTheme="minorHAnsi" w:hAnsiTheme="minorHAnsi" w:cs="Arial"/>
          <w:color w:val="767171" w:themeColor="background2" w:themeShade="80"/>
          <w:sz w:val="26"/>
          <w:szCs w:val="26"/>
          <w:lang w:val="es-MX" w:eastAsia="en-US"/>
        </w:rPr>
        <w:t>la</w:t>
      </w:r>
      <w:r w:rsidRPr="00AC308A">
        <w:rPr>
          <w:rFonts w:asciiTheme="minorHAnsi" w:hAnsiTheme="minorHAnsi" w:cs="Arial"/>
          <w:color w:val="767171" w:themeColor="background2" w:themeShade="80"/>
          <w:sz w:val="26"/>
          <w:szCs w:val="26"/>
          <w:lang w:val="es-MX" w:eastAsia="en-US"/>
        </w:rPr>
        <w:t xml:space="preserve">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r w:rsidR="005D66A6">
        <w:rPr>
          <w:rFonts w:asciiTheme="minorHAnsi" w:hAnsiTheme="minorHAnsi" w:cs="Arial"/>
          <w:color w:val="767171" w:themeColor="background2" w:themeShade="80"/>
          <w:sz w:val="26"/>
          <w:szCs w:val="26"/>
          <w:lang w:val="es-MX" w:eastAsia="en-US"/>
        </w:rPr>
        <w:t>.</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w:t>
      </w:r>
      <w:r w:rsidR="005D66A6">
        <w:rPr>
          <w:rFonts w:asciiTheme="minorHAnsi" w:hAnsiTheme="minorHAnsi" w:cs="Arial"/>
          <w:b w:val="0"/>
          <w:color w:val="767171" w:themeColor="background2" w:themeShade="80"/>
          <w:sz w:val="26"/>
          <w:szCs w:val="26"/>
          <w:lang w:val="es-MX"/>
        </w:rPr>
        <w:t>nfonolas</w:t>
      </w:r>
      <w:proofErr w:type="spellEnd"/>
      <w:r w:rsidR="005D66A6">
        <w:rPr>
          <w:rFonts w:asciiTheme="minorHAnsi" w:hAnsiTheme="minorHAnsi" w:cs="Arial"/>
          <w:b w:val="0"/>
          <w:color w:val="767171" w:themeColor="background2" w:themeShade="80"/>
          <w:sz w:val="26"/>
          <w:szCs w:val="26"/>
          <w:lang w:val="es-MX"/>
        </w:rPr>
        <w:t>.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B91B9B">
        <w:rPr>
          <w:rFonts w:ascii="Calibri" w:hAnsi="Calibri"/>
          <w:b/>
          <w:color w:val="7F7F7F" w:themeColor="text1" w:themeTint="80"/>
          <w:sz w:val="26"/>
          <w:szCs w:val="26"/>
        </w:rPr>
        <w:t xml:space="preserve">1 </w:t>
      </w:r>
      <w:r w:rsidR="00B91B9B" w:rsidRPr="00EB2E59">
        <w:rPr>
          <w:rFonts w:ascii="Calibri" w:hAnsi="Calibri"/>
          <w:color w:val="7F7F7F" w:themeColor="text1" w:themeTint="80"/>
          <w:sz w:val="26"/>
          <w:szCs w:val="26"/>
        </w:rPr>
        <w:t>uno de</w:t>
      </w:r>
      <w:r w:rsidR="00B91B9B">
        <w:rPr>
          <w:rFonts w:ascii="Calibri" w:hAnsi="Calibri"/>
          <w:b/>
          <w:color w:val="7F7F7F" w:themeColor="text1" w:themeTint="80"/>
          <w:sz w:val="26"/>
          <w:szCs w:val="26"/>
        </w:rPr>
        <w:t xml:space="preserve"> septiembre</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B91B9B">
        <w:rPr>
          <w:rFonts w:ascii="Calibri" w:hAnsi="Calibri"/>
          <w:b/>
          <w:color w:val="7F7F7F" w:themeColor="text1" w:themeTint="80"/>
          <w:sz w:val="26"/>
          <w:szCs w:val="26"/>
        </w:rPr>
        <w:t>0539</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w:t>
      </w:r>
      <w:r w:rsidR="0032392A">
        <w:rPr>
          <w:rFonts w:ascii="Calibri" w:hAnsi="Calibri"/>
          <w:bCs/>
          <w:color w:val="7F7F7F" w:themeColor="text1" w:themeTint="80"/>
          <w:sz w:val="26"/>
          <w:szCs w:val="26"/>
        </w:rPr>
        <w:t xml:space="preserve">todos y cada uno de </w:t>
      </w:r>
      <w:r w:rsidR="00FA04C4" w:rsidRPr="00F9490B">
        <w:rPr>
          <w:rFonts w:ascii="Calibri" w:hAnsi="Calibri"/>
          <w:bCs/>
          <w:color w:val="7F7F7F" w:themeColor="text1" w:themeTint="80"/>
          <w:sz w:val="26"/>
          <w:szCs w:val="26"/>
        </w:rPr>
        <w:t xml:space="preserve">los actos que se sustentan y derivan de la misma; como lo </w:t>
      </w:r>
      <w:r w:rsidR="0032392A">
        <w:rPr>
          <w:rFonts w:ascii="Calibri" w:hAnsi="Calibri"/>
          <w:bCs/>
          <w:color w:val="7F7F7F" w:themeColor="text1" w:themeTint="80"/>
          <w:sz w:val="26"/>
          <w:szCs w:val="26"/>
        </w:rPr>
        <w:t xml:space="preserve">es, entre otros, </w:t>
      </w:r>
      <w:r w:rsidR="00FA04C4" w:rsidRPr="00F9490B">
        <w:rPr>
          <w:rFonts w:ascii="Calibri" w:hAnsi="Calibri"/>
          <w:bCs/>
          <w:color w:val="7F7F7F" w:themeColor="text1" w:themeTint="80"/>
          <w:sz w:val="26"/>
          <w:szCs w:val="26"/>
        </w:rPr>
        <w:t xml:space="preserve">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32392A">
        <w:rPr>
          <w:rFonts w:ascii="Calibri" w:hAnsi="Calibri"/>
          <w:bCs/>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w:t>
      </w:r>
      <w:r w:rsidR="00E41CB1" w:rsidRPr="00E41CB1">
        <w:rPr>
          <w:rFonts w:ascii="Calibri" w:hAnsi="Calibri"/>
          <w:bCs/>
          <w:color w:val="7F7F7F" w:themeColor="text1" w:themeTint="80"/>
          <w:sz w:val="26"/>
          <w:szCs w:val="26"/>
        </w:rPr>
        <w:t xml:space="preserve"> al tener, como ya se dijo, su sustento y ser consecuencia de una orden de visita emitida de manera </w:t>
      </w:r>
      <w:r w:rsidR="00FA04C4" w:rsidRPr="00F9490B">
        <w:rPr>
          <w:rFonts w:ascii="Calibri" w:hAnsi="Calibri"/>
          <w:color w:val="7F7F7F" w:themeColor="text1" w:themeTint="80"/>
          <w:sz w:val="26"/>
          <w:szCs w:val="27"/>
        </w:rPr>
        <w:t>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F125A5">
        <w:rPr>
          <w:rFonts w:ascii="Calibri" w:hAnsi="Calibri"/>
          <w:color w:val="7F7F7F" w:themeColor="text1" w:themeTint="80"/>
          <w:sz w:val="26"/>
          <w:szCs w:val="27"/>
        </w:rPr>
        <w:t xml:space="preserve">.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F125A5">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F125A5" w:rsidRDefault="004B3DFC" w:rsidP="00F125A5">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lastRenderedPageBreak/>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F125A5">
        <w:rPr>
          <w:rFonts w:ascii="Calibri" w:hAnsi="Calibri"/>
          <w:color w:val="7F7F7F" w:themeColor="text1" w:themeTint="80"/>
          <w:sz w:val="26"/>
          <w:szCs w:val="26"/>
          <w:lang w:eastAsia="es-MX"/>
        </w:rPr>
        <w:t>. . . . . . . . .</w:t>
      </w:r>
    </w:p>
    <w:p w:rsidR="00F125A5" w:rsidRPr="00F125A5" w:rsidRDefault="00F125A5" w:rsidP="00F125A5">
      <w:pPr>
        <w:pStyle w:val="Sangradetextonormal"/>
        <w:rPr>
          <w:rFonts w:ascii="Calibri" w:hAnsi="Calibri"/>
          <w:color w:val="7F7F7F" w:themeColor="text1" w:themeTint="80"/>
          <w:sz w:val="26"/>
          <w:szCs w:val="26"/>
          <w:lang w:eastAsia="es-MX"/>
        </w:rPr>
      </w:pPr>
    </w:p>
    <w:p w:rsidR="00F125A5" w:rsidRDefault="00F125A5" w:rsidP="00FA04C4">
      <w:pPr>
        <w:autoSpaceDE w:val="0"/>
        <w:autoSpaceDN w:val="0"/>
        <w:adjustRightInd w:val="0"/>
        <w:ind w:firstLine="708"/>
        <w:jc w:val="both"/>
        <w:rPr>
          <w:rFonts w:ascii="Calibri" w:hAnsi="Calibri"/>
          <w:b/>
          <w:i/>
          <w:iCs/>
          <w:color w:val="7F7F7F" w:themeColor="text1" w:themeTint="80"/>
          <w:sz w:val="26"/>
          <w:szCs w:val="26"/>
          <w:lang w:val="es-MX" w:eastAsia="es-MX"/>
        </w:rPr>
      </w:pPr>
    </w:p>
    <w:p w:rsidR="00F125A5" w:rsidRDefault="00F125A5" w:rsidP="00F125A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812/2015-JN</w:t>
      </w:r>
    </w:p>
    <w:p w:rsidR="00F125A5" w:rsidRDefault="00F125A5" w:rsidP="00FA04C4">
      <w:pPr>
        <w:autoSpaceDE w:val="0"/>
        <w:autoSpaceDN w:val="0"/>
        <w:adjustRightInd w:val="0"/>
        <w:ind w:firstLine="708"/>
        <w:jc w:val="both"/>
        <w:rPr>
          <w:rFonts w:ascii="Calibri" w:hAnsi="Calibri"/>
          <w:b/>
          <w:i/>
          <w:iCs/>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F125A5">
        <w:rPr>
          <w:rFonts w:ascii="Calibri" w:hAnsi="Calibri"/>
          <w:color w:val="7F7F7F" w:themeColor="text1" w:themeTint="80"/>
          <w:sz w:val="22"/>
          <w:szCs w:val="26"/>
          <w:lang w:val="es-MX" w:eastAsia="es-MX"/>
        </w:rPr>
        <w:t>. . . . . .  . . . .</w:t>
      </w:r>
    </w:p>
    <w:p w:rsidR="002974BB" w:rsidRPr="009A23DB" w:rsidRDefault="002974BB" w:rsidP="00EB2E59">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w:t>
      </w:r>
      <w:r>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651C4B" w:rsidRPr="00BF5CA7" w:rsidRDefault="00651C4B"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114734" w:rsidRPr="00114734" w:rsidRDefault="004B3DFC" w:rsidP="00114734">
      <w:pPr>
        <w:ind w:firstLine="708"/>
        <w:jc w:val="both"/>
        <w:rPr>
          <w:rFonts w:ascii="Calibri" w:hAnsi="Calibri" w:cs="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00114734" w:rsidRPr="00114734">
        <w:rPr>
          <w:rFonts w:ascii="Calibri" w:hAnsi="Calibri" w:cs="Calibri"/>
          <w:color w:val="7F7F7F" w:themeColor="text1" w:themeTint="80"/>
          <w:sz w:val="26"/>
          <w:szCs w:val="26"/>
        </w:rPr>
        <w:t xml:space="preserve">De lo pretendido por la impetrante del proceso, se encuentra también lo concerniente a que se condene a las demandadas a que se levante la clausura impuesta en fecha 1 </w:t>
      </w:r>
      <w:r w:rsidR="00114734">
        <w:rPr>
          <w:rFonts w:ascii="Calibri" w:hAnsi="Calibri" w:cs="Calibri"/>
          <w:color w:val="7F7F7F" w:themeColor="text1" w:themeTint="80"/>
          <w:sz w:val="26"/>
          <w:szCs w:val="26"/>
        </w:rPr>
        <w:t>uno</w:t>
      </w:r>
      <w:r w:rsidR="00114734" w:rsidRPr="00114734">
        <w:rPr>
          <w:rFonts w:ascii="Calibri" w:hAnsi="Calibri" w:cs="Calibri"/>
          <w:color w:val="7F7F7F" w:themeColor="text1" w:themeTint="80"/>
          <w:sz w:val="26"/>
          <w:szCs w:val="26"/>
        </w:rPr>
        <w:t xml:space="preserve"> de </w:t>
      </w:r>
      <w:r w:rsidR="00114734">
        <w:rPr>
          <w:rFonts w:ascii="Calibri" w:hAnsi="Calibri" w:cs="Calibri"/>
          <w:color w:val="7F7F7F" w:themeColor="text1" w:themeTint="80"/>
          <w:sz w:val="26"/>
          <w:szCs w:val="26"/>
        </w:rPr>
        <w:t>septiembre</w:t>
      </w:r>
      <w:r w:rsidR="00114734" w:rsidRPr="00114734">
        <w:rPr>
          <w:rFonts w:ascii="Calibri" w:hAnsi="Calibri" w:cs="Calibri"/>
          <w:color w:val="7F7F7F" w:themeColor="text1" w:themeTint="80"/>
          <w:sz w:val="26"/>
          <w:szCs w:val="26"/>
        </w:rPr>
        <w:t xml:space="preserve"> del año </w:t>
      </w:r>
      <w:r w:rsidR="00114734">
        <w:rPr>
          <w:rFonts w:ascii="Calibri" w:hAnsi="Calibri" w:cs="Calibri"/>
          <w:color w:val="7F7F7F" w:themeColor="text1" w:themeTint="80"/>
          <w:sz w:val="26"/>
          <w:szCs w:val="26"/>
        </w:rPr>
        <w:t>2015 dos mil quince</w:t>
      </w:r>
      <w:r w:rsidR="00114734" w:rsidRPr="00114734">
        <w:rPr>
          <w:rFonts w:ascii="Calibri" w:hAnsi="Calibri" w:cs="Calibri"/>
          <w:color w:val="7F7F7F" w:themeColor="text1" w:themeTint="80"/>
          <w:sz w:val="26"/>
          <w:szCs w:val="26"/>
        </w:rPr>
        <w:t xml:space="preserve">, sobre </w:t>
      </w:r>
      <w:r w:rsidR="00114734">
        <w:rPr>
          <w:rFonts w:ascii="Calibri" w:hAnsi="Calibri" w:cs="Calibri"/>
          <w:color w:val="7F7F7F" w:themeColor="text1" w:themeTint="80"/>
          <w:sz w:val="26"/>
          <w:szCs w:val="26"/>
        </w:rPr>
        <w:t>el mueble ubicado</w:t>
      </w:r>
      <w:r w:rsidR="00114734" w:rsidRPr="00114734">
        <w:rPr>
          <w:rFonts w:ascii="Calibri" w:hAnsi="Calibri" w:cs="Calibri"/>
          <w:color w:val="7F7F7F" w:themeColor="text1" w:themeTint="80"/>
          <w:sz w:val="26"/>
          <w:szCs w:val="26"/>
        </w:rPr>
        <w:t xml:space="preserve"> en el interior del establecimiento visitado. . . . </w:t>
      </w:r>
      <w:r w:rsidR="00651C4B">
        <w:rPr>
          <w:rFonts w:ascii="Calibri" w:hAnsi="Calibri" w:cs="Calibri"/>
          <w:color w:val="7F7F7F" w:themeColor="text1" w:themeTint="80"/>
          <w:sz w:val="26"/>
          <w:szCs w:val="26"/>
        </w:rPr>
        <w:t xml:space="preserve">. . . . . . . . . </w:t>
      </w:r>
    </w:p>
    <w:p w:rsidR="00114734" w:rsidRPr="00114734" w:rsidRDefault="00114734" w:rsidP="00114734">
      <w:pPr>
        <w:ind w:firstLine="708"/>
        <w:jc w:val="both"/>
        <w:rPr>
          <w:rFonts w:ascii="Calibri" w:hAnsi="Calibri" w:cs="Calibri"/>
          <w:color w:val="7F7F7F" w:themeColor="text1" w:themeTint="80"/>
          <w:sz w:val="26"/>
          <w:szCs w:val="26"/>
        </w:rPr>
      </w:pPr>
    </w:p>
    <w:p w:rsidR="00140A1C" w:rsidRDefault="00114734" w:rsidP="00114734">
      <w:pPr>
        <w:ind w:firstLine="708"/>
        <w:jc w:val="both"/>
        <w:rPr>
          <w:rFonts w:ascii="Calibri" w:hAnsi="Calibri"/>
          <w:b/>
          <w:color w:val="7F7F7F" w:themeColor="text1" w:themeTint="80"/>
          <w:sz w:val="26"/>
          <w:szCs w:val="26"/>
        </w:rPr>
      </w:pPr>
      <w:r w:rsidRPr="00114734">
        <w:rPr>
          <w:rFonts w:ascii="Calibri" w:hAnsi="Calibri" w:cs="Calibri"/>
          <w:color w:val="7F7F7F" w:themeColor="text1" w:themeTint="80"/>
          <w:sz w:val="26"/>
          <w:szCs w:val="26"/>
        </w:rPr>
        <w:t xml:space="preserve">Pretensión que </w:t>
      </w:r>
      <w:r w:rsidRPr="00114734">
        <w:rPr>
          <w:rFonts w:ascii="Calibri" w:hAnsi="Calibri" w:cs="Calibri"/>
          <w:b/>
          <w:color w:val="7F7F7F" w:themeColor="text1" w:themeTint="80"/>
          <w:sz w:val="26"/>
          <w:szCs w:val="26"/>
        </w:rPr>
        <w:t>no resulta procedente</w:t>
      </w:r>
      <w:r w:rsidRPr="00114734">
        <w:rPr>
          <w:rFonts w:ascii="Calibri" w:hAnsi="Calibri" w:cs="Calibri"/>
          <w:color w:val="7F7F7F" w:themeColor="text1" w:themeTint="80"/>
          <w:sz w:val="26"/>
          <w:szCs w:val="26"/>
        </w:rPr>
        <w:t xml:space="preserve">; toda vez que no obstante que en el presente asunto, se dictó la nulidad total de los actos impugnados; de las constancias aportadas por las partes, </w:t>
      </w:r>
      <w:r w:rsidRPr="00114734">
        <w:rPr>
          <w:rFonts w:ascii="Calibri" w:hAnsi="Calibri" w:cs="Calibri"/>
          <w:b/>
          <w:color w:val="7F7F7F" w:themeColor="text1" w:themeTint="80"/>
          <w:sz w:val="26"/>
          <w:szCs w:val="26"/>
        </w:rPr>
        <w:t>no se advierte</w:t>
      </w:r>
      <w:r w:rsidRPr="00114734">
        <w:rPr>
          <w:rFonts w:ascii="Calibri" w:hAnsi="Calibri" w:cs="Calibri"/>
          <w:color w:val="7F7F7F" w:themeColor="text1" w:themeTint="80"/>
          <w:sz w:val="26"/>
          <w:szCs w:val="26"/>
        </w:rPr>
        <w:t xml:space="preserve"> que </w:t>
      </w:r>
      <w:r w:rsidR="00651C4B">
        <w:rPr>
          <w:rFonts w:ascii="Calibri" w:hAnsi="Calibri" w:cs="Calibri"/>
          <w:color w:val="7F7F7F" w:themeColor="text1" w:themeTint="80"/>
          <w:sz w:val="26"/>
          <w:szCs w:val="26"/>
        </w:rPr>
        <w:t>se haya emitido</w:t>
      </w:r>
      <w:r>
        <w:rPr>
          <w:rFonts w:ascii="Calibri" w:hAnsi="Calibri" w:cs="Calibri"/>
          <w:color w:val="7F7F7F" w:themeColor="text1" w:themeTint="80"/>
          <w:sz w:val="26"/>
          <w:szCs w:val="26"/>
        </w:rPr>
        <w:t xml:space="preserve"> una</w:t>
      </w:r>
      <w:r w:rsidRPr="00114734">
        <w:rPr>
          <w:rFonts w:ascii="Calibri" w:hAnsi="Calibri" w:cs="Calibri"/>
          <w:color w:val="7F7F7F" w:themeColor="text1" w:themeTint="80"/>
          <w:sz w:val="26"/>
          <w:szCs w:val="26"/>
        </w:rPr>
        <w:t xml:space="preserve"> orden de clausura </w:t>
      </w:r>
      <w:r>
        <w:rPr>
          <w:rFonts w:ascii="Calibri" w:hAnsi="Calibri" w:cs="Calibri"/>
          <w:color w:val="7F7F7F" w:themeColor="text1" w:themeTint="80"/>
          <w:sz w:val="26"/>
          <w:szCs w:val="26"/>
        </w:rPr>
        <w:t xml:space="preserve">y que la misma se </w:t>
      </w:r>
      <w:r w:rsidRPr="00114734">
        <w:rPr>
          <w:rFonts w:ascii="Calibri" w:hAnsi="Calibri" w:cs="Calibri"/>
          <w:color w:val="7F7F7F" w:themeColor="text1" w:themeTint="80"/>
          <w:sz w:val="26"/>
          <w:szCs w:val="26"/>
        </w:rPr>
        <w:t>h</w:t>
      </w:r>
      <w:r w:rsidR="00651C4B">
        <w:rPr>
          <w:rFonts w:ascii="Calibri" w:hAnsi="Calibri" w:cs="Calibri"/>
          <w:color w:val="7F7F7F" w:themeColor="text1" w:themeTint="80"/>
          <w:sz w:val="26"/>
          <w:szCs w:val="26"/>
        </w:rPr>
        <w:t>ubiere</w:t>
      </w:r>
      <w:r w:rsidRPr="00114734">
        <w:rPr>
          <w:rFonts w:ascii="Calibri" w:hAnsi="Calibri" w:cs="Calibri"/>
          <w:color w:val="7F7F7F" w:themeColor="text1" w:themeTint="80"/>
          <w:sz w:val="26"/>
          <w:szCs w:val="26"/>
        </w:rPr>
        <w:t xml:space="preserve"> ejecutado; esto es, que efectivamente se haya clausurado </w:t>
      </w:r>
      <w:r w:rsidR="00EE6F7D">
        <w:rPr>
          <w:rFonts w:ascii="Calibri" w:hAnsi="Calibri" w:cs="Calibri"/>
          <w:color w:val="7F7F7F" w:themeColor="text1" w:themeTint="80"/>
          <w:sz w:val="26"/>
          <w:szCs w:val="26"/>
        </w:rPr>
        <w:t>el mueble ubicado</w:t>
      </w:r>
      <w:r w:rsidRPr="00114734">
        <w:rPr>
          <w:rFonts w:ascii="Calibri" w:hAnsi="Calibri" w:cs="Calibri"/>
          <w:color w:val="7F7F7F" w:themeColor="text1" w:themeTint="80"/>
          <w:sz w:val="26"/>
          <w:szCs w:val="26"/>
        </w:rPr>
        <w:t xml:space="preserve"> al interior del establecimiento de tienda de abarrotes visitado; lo que se comprobaría con la </w:t>
      </w:r>
      <w:r w:rsidRPr="00114734">
        <w:rPr>
          <w:rFonts w:ascii="Calibri" w:hAnsi="Calibri" w:cs="Calibri"/>
          <w:color w:val="7F7F7F" w:themeColor="text1" w:themeTint="80"/>
          <w:sz w:val="26"/>
          <w:szCs w:val="26"/>
        </w:rPr>
        <w:lastRenderedPageBreak/>
        <w:t>exhibición de</w:t>
      </w:r>
      <w:r>
        <w:rPr>
          <w:rFonts w:ascii="Calibri" w:hAnsi="Calibri" w:cs="Calibri"/>
          <w:color w:val="7F7F7F" w:themeColor="text1" w:themeTint="80"/>
          <w:sz w:val="26"/>
          <w:szCs w:val="26"/>
        </w:rPr>
        <w:t xml:space="preserve"> la orden de clausura y el</w:t>
      </w:r>
      <w:r w:rsidRPr="00114734">
        <w:rPr>
          <w:rFonts w:ascii="Calibri" w:hAnsi="Calibri" w:cs="Calibri"/>
          <w:color w:val="7F7F7F" w:themeColor="text1" w:themeTint="80"/>
          <w:sz w:val="26"/>
          <w:szCs w:val="26"/>
        </w:rPr>
        <w:t xml:space="preserve"> acta de fijación de sellos de clausura, misma</w:t>
      </w:r>
      <w:r>
        <w:rPr>
          <w:rFonts w:ascii="Calibri" w:hAnsi="Calibri" w:cs="Calibri"/>
          <w:color w:val="7F7F7F" w:themeColor="text1" w:themeTint="80"/>
          <w:sz w:val="26"/>
          <w:szCs w:val="26"/>
        </w:rPr>
        <w:t>s</w:t>
      </w:r>
      <w:r w:rsidRPr="00114734">
        <w:rPr>
          <w:rFonts w:ascii="Calibri" w:hAnsi="Calibri" w:cs="Calibri"/>
          <w:color w:val="7F7F7F" w:themeColor="text1" w:themeTint="80"/>
          <w:sz w:val="26"/>
          <w:szCs w:val="26"/>
        </w:rPr>
        <w:t xml:space="preserve"> que no fue</w:t>
      </w:r>
      <w:r>
        <w:rPr>
          <w:rFonts w:ascii="Calibri" w:hAnsi="Calibri" w:cs="Calibri"/>
          <w:color w:val="7F7F7F" w:themeColor="text1" w:themeTint="80"/>
          <w:sz w:val="26"/>
          <w:szCs w:val="26"/>
        </w:rPr>
        <w:t>ron</w:t>
      </w:r>
      <w:r w:rsidRPr="00114734">
        <w:rPr>
          <w:rFonts w:ascii="Calibri" w:hAnsi="Calibri" w:cs="Calibri"/>
          <w:color w:val="7F7F7F" w:themeColor="text1" w:themeTint="80"/>
          <w:sz w:val="26"/>
          <w:szCs w:val="26"/>
        </w:rPr>
        <w:t xml:space="preserve"> exhibida</w:t>
      </w:r>
      <w:r>
        <w:rPr>
          <w:rFonts w:ascii="Calibri" w:hAnsi="Calibri" w:cs="Calibri"/>
          <w:color w:val="7F7F7F" w:themeColor="text1" w:themeTint="80"/>
          <w:sz w:val="26"/>
          <w:szCs w:val="26"/>
        </w:rPr>
        <w:t>s</w:t>
      </w:r>
      <w:r w:rsidRPr="00114734">
        <w:rPr>
          <w:rFonts w:ascii="Calibri" w:hAnsi="Calibri" w:cs="Calibri"/>
          <w:color w:val="7F7F7F" w:themeColor="text1" w:themeTint="80"/>
          <w:sz w:val="26"/>
          <w:szCs w:val="26"/>
        </w:rPr>
        <w:t xml:space="preserve"> por la parte actora; por lo que entonces, al no acreditarse el supuesto de que se haya </w:t>
      </w:r>
      <w:r>
        <w:rPr>
          <w:rFonts w:ascii="Calibri" w:hAnsi="Calibri" w:cs="Calibri"/>
          <w:color w:val="7F7F7F" w:themeColor="text1" w:themeTint="80"/>
          <w:sz w:val="26"/>
          <w:szCs w:val="26"/>
        </w:rPr>
        <w:t xml:space="preserve">emitido y </w:t>
      </w:r>
      <w:r w:rsidRPr="00114734">
        <w:rPr>
          <w:rFonts w:ascii="Calibri" w:hAnsi="Calibri" w:cs="Calibri"/>
          <w:color w:val="7F7F7F" w:themeColor="text1" w:themeTint="80"/>
          <w:sz w:val="26"/>
          <w:szCs w:val="26"/>
        </w:rPr>
        <w:t xml:space="preserve">ejecutado </w:t>
      </w:r>
      <w:r>
        <w:rPr>
          <w:rFonts w:ascii="Calibri" w:hAnsi="Calibri" w:cs="Calibri"/>
          <w:color w:val="7F7F7F" w:themeColor="text1" w:themeTint="80"/>
          <w:sz w:val="26"/>
          <w:szCs w:val="26"/>
        </w:rPr>
        <w:t>una</w:t>
      </w:r>
      <w:r w:rsidRPr="00114734">
        <w:rPr>
          <w:rFonts w:ascii="Calibri" w:hAnsi="Calibri" w:cs="Calibri"/>
          <w:color w:val="7F7F7F" w:themeColor="text1" w:themeTint="80"/>
          <w:sz w:val="26"/>
          <w:szCs w:val="26"/>
        </w:rPr>
        <w:t xml:space="preserve"> orden de clausura, no surge entonces, el derecho al levantamiento de la clausura que se solicitó. . . . . . .</w:t>
      </w:r>
      <w:r w:rsidR="00651C4B">
        <w:rPr>
          <w:rFonts w:ascii="Calibri" w:hAnsi="Calibri" w:cs="Calibri"/>
          <w:color w:val="7F7F7F" w:themeColor="text1" w:themeTint="80"/>
          <w:sz w:val="26"/>
          <w:szCs w:val="26"/>
        </w:rPr>
        <w:t xml:space="preserve"> . . . . . . .  . . . . . . . . . . .  . . . . . . .</w:t>
      </w:r>
    </w:p>
    <w:p w:rsidR="004B3DFC" w:rsidRDefault="004B3DFC" w:rsidP="00FA04C4">
      <w:pPr>
        <w:pStyle w:val="Textoindependiente"/>
        <w:tabs>
          <w:tab w:val="left" w:pos="6662"/>
        </w:tabs>
        <w:ind w:firstLine="708"/>
        <w:rPr>
          <w:rFonts w:ascii="Calibri" w:hAnsi="Calibri" w:cs="Arial"/>
          <w:color w:val="7F7F7F" w:themeColor="text1" w:themeTint="80"/>
          <w:sz w:val="18"/>
          <w:szCs w:val="18"/>
        </w:rPr>
      </w:pPr>
      <w:r w:rsidRPr="00BF5CA7">
        <w:rPr>
          <w:rFonts w:ascii="Calibri" w:hAnsi="Calibri" w:cs="Arial"/>
          <w:color w:val="7F7F7F" w:themeColor="text1" w:themeTint="80"/>
          <w:sz w:val="18"/>
          <w:szCs w:val="18"/>
        </w:rPr>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w:t>
      </w:r>
      <w:r w:rsidR="00D31B99">
        <w:rPr>
          <w:rFonts w:ascii="Calibri" w:hAnsi="Calibri" w:cs="Calibri"/>
          <w:color w:val="7F7F7F" w:themeColor="text1" w:themeTint="80"/>
          <w:sz w:val="26"/>
          <w:szCs w:val="26"/>
        </w:rPr>
        <w:t xml:space="preserve">261, fracción VI, 262, fracción II, </w:t>
      </w:r>
      <w:r w:rsidRPr="00062DE6">
        <w:rPr>
          <w:rFonts w:ascii="Calibri" w:hAnsi="Calibri" w:cs="Calibri"/>
          <w:color w:val="7F7F7F" w:themeColor="text1" w:themeTint="80"/>
          <w:sz w:val="26"/>
          <w:szCs w:val="26"/>
        </w:rPr>
        <w:t xml:space="preserve">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187263" w:rsidRDefault="004B3DFC" w:rsidP="00187263">
      <w:pPr>
        <w:ind w:firstLine="708"/>
        <w:jc w:val="both"/>
        <w:rPr>
          <w:rFonts w:ascii="Calibri" w:hAnsi="Calibri" w:cs="Arial"/>
          <w:bCs/>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00187263">
        <w:rPr>
          <w:rFonts w:ascii="Calibri" w:hAnsi="Calibri" w:cs="Arial"/>
          <w:bCs/>
          <w:color w:val="7F7F7F" w:themeColor="text1" w:themeTint="80"/>
          <w:sz w:val="26"/>
          <w:szCs w:val="26"/>
        </w:rPr>
        <w:t xml:space="preserve">Se </w:t>
      </w:r>
      <w:r w:rsidR="00187263">
        <w:rPr>
          <w:rFonts w:ascii="Calibri" w:hAnsi="Calibri" w:cs="Arial"/>
          <w:b/>
          <w:bCs/>
          <w:color w:val="7F7F7F" w:themeColor="text1" w:themeTint="80"/>
          <w:sz w:val="26"/>
          <w:szCs w:val="26"/>
        </w:rPr>
        <w:t xml:space="preserve">sobresee </w:t>
      </w:r>
      <w:r w:rsidR="00187263">
        <w:rPr>
          <w:rFonts w:ascii="Calibri" w:hAnsi="Calibri" w:cs="Arial"/>
          <w:bCs/>
          <w:color w:val="7F7F7F" w:themeColor="text1" w:themeTint="80"/>
          <w:sz w:val="26"/>
          <w:szCs w:val="26"/>
        </w:rPr>
        <w:t xml:space="preserve">el presente proceso respecto de los actos impugnados consistentes en la orden de clausura y el acta circunstanciada de fijación de sellos de clausura, atento </w:t>
      </w:r>
      <w:r w:rsidR="00466CCD">
        <w:rPr>
          <w:rFonts w:ascii="Calibri" w:hAnsi="Calibri" w:cs="Arial"/>
          <w:bCs/>
          <w:color w:val="7F7F7F" w:themeColor="text1" w:themeTint="80"/>
          <w:sz w:val="26"/>
          <w:szCs w:val="26"/>
        </w:rPr>
        <w:t xml:space="preserve">a </w:t>
      </w:r>
      <w:r w:rsidR="00187263">
        <w:rPr>
          <w:rFonts w:ascii="Calibri" w:hAnsi="Calibri" w:cs="Arial"/>
          <w:bCs/>
          <w:color w:val="7F7F7F" w:themeColor="text1" w:themeTint="80"/>
          <w:sz w:val="26"/>
          <w:szCs w:val="26"/>
        </w:rPr>
        <w:t xml:space="preserve">lo planteado en el Considerando Cuarto. . . </w:t>
      </w:r>
    </w:p>
    <w:p w:rsidR="00187263" w:rsidRPr="00187263" w:rsidRDefault="00187263" w:rsidP="00187263">
      <w:pPr>
        <w:ind w:firstLine="708"/>
        <w:jc w:val="both"/>
        <w:rPr>
          <w:rFonts w:ascii="Calibri" w:hAnsi="Calibri" w:cs="Arial"/>
          <w:bCs/>
          <w:color w:val="7F7F7F" w:themeColor="text1" w:themeTint="80"/>
          <w:sz w:val="26"/>
          <w:szCs w:val="26"/>
        </w:rPr>
      </w:pPr>
    </w:p>
    <w:p w:rsidR="004B3DFC" w:rsidRPr="00BF5CA7" w:rsidRDefault="00187263"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w:t>
      </w:r>
      <w:r w:rsidR="004B3DFC"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004B3DFC" w:rsidRPr="00BF5CA7">
        <w:rPr>
          <w:rFonts w:ascii="Calibri" w:hAnsi="Calibri" w:cs="Calibri"/>
          <w:color w:val="7F7F7F" w:themeColor="text1" w:themeTint="80"/>
          <w:sz w:val="26"/>
          <w:szCs w:val="26"/>
        </w:rPr>
        <w:t xml:space="preserve"> </w:t>
      </w:r>
      <w:r w:rsidR="004B3DFC" w:rsidRPr="00A107AD">
        <w:rPr>
          <w:rFonts w:ascii="Calibri" w:hAnsi="Calibri" w:cs="Calibri"/>
          <w:b/>
          <w:color w:val="7F7F7F" w:themeColor="text1" w:themeTint="80"/>
          <w:sz w:val="26"/>
          <w:szCs w:val="26"/>
        </w:rPr>
        <w:t>procedente</w:t>
      </w:r>
      <w:r w:rsidR="004B3DFC" w:rsidRPr="00BF5CA7">
        <w:rPr>
          <w:rFonts w:ascii="Calibri" w:hAnsi="Calibri" w:cs="Calibri"/>
          <w:color w:val="7F7F7F" w:themeColor="text1" w:themeTint="80"/>
          <w:sz w:val="26"/>
          <w:szCs w:val="26"/>
        </w:rPr>
        <w:t xml:space="preserve"> el proceso administrativo promovido, por </w:t>
      </w:r>
      <w:r w:rsidR="00792CFC">
        <w:rPr>
          <w:rFonts w:ascii="Calibri" w:hAnsi="Calibri" w:cs="Calibri"/>
          <w:color w:val="7F7F7F" w:themeColor="text1" w:themeTint="80"/>
          <w:sz w:val="26"/>
          <w:szCs w:val="26"/>
        </w:rPr>
        <w:t>el ciudadano</w:t>
      </w:r>
      <w:r w:rsidR="004B3DFC" w:rsidRPr="00BF5CA7">
        <w:rPr>
          <w:rFonts w:ascii="Calibri" w:hAnsi="Calibri" w:cs="Calibri"/>
          <w:color w:val="7F7F7F" w:themeColor="text1" w:themeTint="80"/>
          <w:sz w:val="26"/>
          <w:szCs w:val="26"/>
        </w:rPr>
        <w:t xml:space="preserve"> </w:t>
      </w:r>
      <w:r w:rsidR="000540AA">
        <w:rPr>
          <w:rFonts w:ascii="Calibri" w:hAnsi="Calibri" w:cs="Calibri"/>
          <w:color w:val="7F7F7F" w:themeColor="text1" w:themeTint="80"/>
          <w:sz w:val="26"/>
          <w:szCs w:val="26"/>
        </w:rPr>
        <w:t>*****</w:t>
      </w:r>
      <w:r w:rsidR="004B3DFC" w:rsidRPr="00BF5CA7">
        <w:rPr>
          <w:rFonts w:ascii="Calibri" w:hAnsi="Calibri" w:cs="Calibri"/>
          <w:color w:val="7F7F7F" w:themeColor="text1" w:themeTint="80"/>
          <w:sz w:val="26"/>
          <w:szCs w:val="26"/>
        </w:rPr>
        <w:t>, en contra de los actos impugnados</w:t>
      </w:r>
      <w:r>
        <w:rPr>
          <w:rFonts w:ascii="Calibri" w:hAnsi="Calibri" w:cs="Calibri"/>
          <w:color w:val="7F7F7F" w:themeColor="text1" w:themeTint="80"/>
          <w:sz w:val="26"/>
          <w:szCs w:val="26"/>
        </w:rPr>
        <w:t xml:space="preserve"> relativos a la orden de visita de inspección y acta de visita de inspección</w:t>
      </w:r>
      <w:r w:rsidR="004328C1">
        <w:rPr>
          <w:rFonts w:ascii="Calibri" w:hAnsi="Calibri" w:cs="Arial"/>
          <w:color w:val="7F7F7F" w:themeColor="text1" w:themeTint="80"/>
          <w:sz w:val="26"/>
          <w:szCs w:val="26"/>
        </w:rPr>
        <w:t>. . . . .</w:t>
      </w:r>
      <w:r w:rsidR="00181DEE">
        <w:rPr>
          <w:rFonts w:ascii="Calibri" w:hAnsi="Calibri" w:cs="Arial"/>
          <w:color w:val="7F7F7F" w:themeColor="text1" w:themeTint="80"/>
          <w:sz w:val="26"/>
          <w:szCs w:val="26"/>
        </w:rPr>
        <w:t xml:space="preserve"> . . . . . . . .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187263" w:rsidP="00832B72">
      <w:pPr>
        <w:ind w:firstLine="708"/>
        <w:jc w:val="both"/>
        <w:rPr>
          <w:rFonts w:ascii="Calibri" w:hAnsi="Calibri"/>
          <w:color w:val="7F7F7F" w:themeColor="text1" w:themeTint="80"/>
          <w:sz w:val="26"/>
          <w:szCs w:val="27"/>
        </w:rPr>
      </w:pPr>
      <w:r>
        <w:rPr>
          <w:rFonts w:ascii="Calibri" w:hAnsi="Calibri" w:cs="Arial"/>
          <w:b/>
          <w:bCs/>
          <w:i/>
          <w:iCs/>
          <w:color w:val="7F7F7F" w:themeColor="text1" w:themeTint="80"/>
          <w:sz w:val="26"/>
          <w:szCs w:val="26"/>
        </w:rPr>
        <w:t>CUART</w:t>
      </w:r>
      <w:r w:rsidR="004B3DFC" w:rsidRPr="00BF5CA7">
        <w:rPr>
          <w:rFonts w:ascii="Calibri" w:hAnsi="Calibri" w:cs="Arial"/>
          <w:b/>
          <w:bCs/>
          <w:i/>
          <w:iCs/>
          <w:color w:val="7F7F7F" w:themeColor="text1" w:themeTint="80"/>
          <w:sz w:val="26"/>
          <w:szCs w:val="26"/>
        </w:rPr>
        <w:t>O.-</w:t>
      </w:r>
      <w:r w:rsidR="004B3DFC" w:rsidRPr="00BF5CA7">
        <w:rPr>
          <w:rFonts w:ascii="Calibri" w:hAnsi="Calibri" w:cs="Arial"/>
          <w:color w:val="7F7F7F" w:themeColor="text1" w:themeTint="80"/>
          <w:sz w:val="26"/>
          <w:szCs w:val="26"/>
        </w:rPr>
        <w:t xml:space="preserve"> Se </w:t>
      </w:r>
      <w:r w:rsidR="004B3DFC" w:rsidRPr="004C212B">
        <w:rPr>
          <w:rFonts w:ascii="Calibri" w:hAnsi="Calibri" w:cs="Arial"/>
          <w:b/>
          <w:color w:val="7F7F7F" w:themeColor="text1" w:themeTint="80"/>
          <w:sz w:val="26"/>
          <w:szCs w:val="26"/>
        </w:rPr>
        <w:t>decreta</w:t>
      </w:r>
      <w:r w:rsidR="004B3DFC" w:rsidRPr="00BF5CA7">
        <w:rPr>
          <w:rFonts w:ascii="Calibri" w:hAnsi="Calibri" w:cs="Arial"/>
          <w:color w:val="7F7F7F" w:themeColor="text1" w:themeTint="80"/>
          <w:sz w:val="26"/>
          <w:szCs w:val="26"/>
        </w:rPr>
        <w:t xml:space="preserve"> </w:t>
      </w:r>
      <w:r w:rsidR="004B3DFC" w:rsidRPr="00BF5CA7">
        <w:rPr>
          <w:rFonts w:ascii="Calibri" w:hAnsi="Calibri" w:cs="Arial"/>
          <w:bCs/>
          <w:color w:val="7F7F7F" w:themeColor="text1" w:themeTint="80"/>
          <w:sz w:val="26"/>
          <w:szCs w:val="26"/>
        </w:rPr>
        <w:t>la</w:t>
      </w:r>
      <w:r w:rsidR="004B3DFC" w:rsidRPr="00BF5CA7">
        <w:rPr>
          <w:rFonts w:ascii="Calibri" w:hAnsi="Calibri" w:cs="Arial"/>
          <w:b/>
          <w:bCs/>
          <w:color w:val="7F7F7F" w:themeColor="text1" w:themeTint="80"/>
          <w:sz w:val="26"/>
          <w:szCs w:val="26"/>
        </w:rPr>
        <w:t xml:space="preserve"> nulidad total </w:t>
      </w:r>
      <w:r w:rsidR="004B3DFC"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B91B9B">
        <w:rPr>
          <w:rFonts w:ascii="Calibri" w:hAnsi="Calibri"/>
          <w:b/>
          <w:color w:val="7F7F7F" w:themeColor="text1" w:themeTint="80"/>
          <w:sz w:val="26"/>
          <w:szCs w:val="26"/>
        </w:rPr>
        <w:t xml:space="preserve">1 </w:t>
      </w:r>
      <w:r w:rsidR="00B91B9B" w:rsidRPr="00EB2E59">
        <w:rPr>
          <w:rFonts w:ascii="Calibri" w:hAnsi="Calibri"/>
          <w:color w:val="7F7F7F" w:themeColor="text1" w:themeTint="80"/>
          <w:sz w:val="26"/>
          <w:szCs w:val="26"/>
        </w:rPr>
        <w:t>uno de</w:t>
      </w:r>
      <w:r w:rsidR="00B91B9B">
        <w:rPr>
          <w:rFonts w:ascii="Calibri" w:hAnsi="Calibri"/>
          <w:b/>
          <w:color w:val="7F7F7F" w:themeColor="text1" w:themeTint="80"/>
          <w:sz w:val="26"/>
          <w:szCs w:val="26"/>
        </w:rPr>
        <w:t xml:space="preserve"> septiembre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B91B9B">
        <w:rPr>
          <w:rFonts w:ascii="Calibri" w:hAnsi="Calibri"/>
          <w:b/>
          <w:color w:val="7F7F7F" w:themeColor="text1" w:themeTint="80"/>
          <w:sz w:val="26"/>
          <w:szCs w:val="26"/>
        </w:rPr>
        <w:t>0539</w:t>
      </w:r>
      <w:r w:rsidR="00014523">
        <w:rPr>
          <w:rFonts w:ascii="Calibri" w:hAnsi="Calibri"/>
          <w:b/>
          <w:color w:val="7F7F7F" w:themeColor="text1" w:themeTint="80"/>
          <w:sz w:val="26"/>
          <w:szCs w:val="26"/>
        </w:rPr>
        <w:t>/2015/</w:t>
      </w:r>
      <w:r w:rsidR="00A57007">
        <w:rPr>
          <w:rFonts w:ascii="Calibri" w:hAnsi="Calibri"/>
          <w:b/>
          <w:color w:val="7F7F7F" w:themeColor="text1" w:themeTint="80"/>
          <w:sz w:val="26"/>
          <w:szCs w:val="26"/>
        </w:rPr>
        <w:t>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w:t>
      </w:r>
      <w:r w:rsidR="0032392A">
        <w:rPr>
          <w:rFonts w:ascii="Calibri" w:hAnsi="Calibri"/>
          <w:bCs/>
          <w:color w:val="7F7F7F" w:themeColor="text1" w:themeTint="80"/>
          <w:sz w:val="26"/>
          <w:szCs w:val="26"/>
        </w:rPr>
        <w:t xml:space="preserve">todos y cada uno </w:t>
      </w:r>
      <w:r w:rsidR="00EA4780" w:rsidRPr="00F9490B">
        <w:rPr>
          <w:rFonts w:ascii="Calibri" w:hAnsi="Calibri"/>
          <w:bCs/>
          <w:color w:val="7F7F7F" w:themeColor="text1" w:themeTint="80"/>
          <w:sz w:val="26"/>
          <w:szCs w:val="26"/>
        </w:rPr>
        <w:t xml:space="preserve">los actos que se sustentan y derivan de la misma; como lo </w:t>
      </w:r>
      <w:r w:rsidR="0032392A">
        <w:rPr>
          <w:rFonts w:ascii="Calibri" w:hAnsi="Calibri"/>
          <w:bCs/>
          <w:color w:val="7F7F7F" w:themeColor="text1" w:themeTint="80"/>
          <w:sz w:val="26"/>
          <w:szCs w:val="26"/>
        </w:rPr>
        <w:t xml:space="preserve">es, entre otros, </w:t>
      </w:r>
      <w:r w:rsidR="00EA4780" w:rsidRPr="00F9490B">
        <w:rPr>
          <w:rFonts w:ascii="Calibri" w:hAnsi="Calibri"/>
          <w:bCs/>
          <w:color w:val="7F7F7F" w:themeColor="text1" w:themeTint="80"/>
          <w:sz w:val="26"/>
          <w:szCs w:val="26"/>
        </w:rPr>
        <w:t xml:space="preserve">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de la misma fecha que la de la orden de visita de inspección y con el mismo número de expediente</w:t>
      </w:r>
      <w:r w:rsidR="004B3DFC" w:rsidRPr="00BF5CA7">
        <w:rPr>
          <w:rFonts w:ascii="Calibri" w:hAnsi="Calibri"/>
          <w:bCs/>
          <w:color w:val="7F7F7F" w:themeColor="text1" w:themeTint="80"/>
          <w:sz w:val="26"/>
          <w:szCs w:val="26"/>
        </w:rPr>
        <w:t xml:space="preserve">; </w:t>
      </w:r>
      <w:r w:rsidR="004B3DFC"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187263" w:rsidP="008F2DD5">
      <w:pPr>
        <w:ind w:firstLine="708"/>
        <w:jc w:val="both"/>
        <w:rPr>
          <w:rFonts w:ascii="Calibri" w:hAnsi="Calibri" w:cs="Calibri"/>
          <w:color w:val="7F7F7F" w:themeColor="text1" w:themeTint="80"/>
          <w:sz w:val="26"/>
          <w:szCs w:val="26"/>
        </w:rPr>
      </w:pPr>
      <w:r>
        <w:rPr>
          <w:rFonts w:ascii="Calibri" w:hAnsi="Calibri" w:cs="Calibri"/>
          <w:b/>
          <w:i/>
          <w:color w:val="7F7F7F" w:themeColor="text1" w:themeTint="80"/>
          <w:sz w:val="26"/>
          <w:szCs w:val="26"/>
        </w:rPr>
        <w:t>QUIN</w:t>
      </w:r>
      <w:r w:rsidR="004B3DFC" w:rsidRPr="00BF5CA7">
        <w:rPr>
          <w:rFonts w:ascii="Calibri" w:hAnsi="Calibri" w:cs="Calibri"/>
          <w:b/>
          <w:i/>
          <w:color w:val="7F7F7F" w:themeColor="text1" w:themeTint="80"/>
          <w:sz w:val="26"/>
          <w:szCs w:val="26"/>
        </w:rPr>
        <w:t xml:space="preserve">TO.- </w:t>
      </w:r>
      <w:r w:rsidR="004B3DFC" w:rsidRPr="00BF5CA7">
        <w:rPr>
          <w:rFonts w:ascii="Calibri" w:hAnsi="Calibri" w:cs="Calibri"/>
          <w:color w:val="7F7F7F" w:themeColor="text1" w:themeTint="80"/>
          <w:sz w:val="26"/>
          <w:szCs w:val="26"/>
        </w:rPr>
        <w:t xml:space="preserve"> </w:t>
      </w:r>
      <w:r w:rsidR="008F2DD5" w:rsidRPr="008F2DD5">
        <w:rPr>
          <w:rFonts w:ascii="Calibri" w:hAnsi="Calibri" w:cs="Calibri"/>
          <w:b/>
          <w:color w:val="7F7F7F" w:themeColor="text1" w:themeTint="80"/>
          <w:sz w:val="26"/>
          <w:szCs w:val="26"/>
        </w:rPr>
        <w:t>No ha lugar</w:t>
      </w:r>
      <w:r w:rsidR="008F2DD5" w:rsidRPr="008F2DD5">
        <w:rPr>
          <w:rFonts w:ascii="Calibri" w:hAnsi="Calibri" w:cs="Calibri"/>
          <w:color w:val="7F7F7F" w:themeColor="text1" w:themeTint="80"/>
          <w:sz w:val="26"/>
          <w:szCs w:val="26"/>
        </w:rPr>
        <w:t xml:space="preserve"> a </w:t>
      </w:r>
      <w:r w:rsidR="008F2DD5" w:rsidRPr="008F2DD5">
        <w:rPr>
          <w:rFonts w:ascii="Calibri" w:hAnsi="Calibri" w:cs="Calibri"/>
          <w:b/>
          <w:color w:val="7F7F7F" w:themeColor="text1" w:themeTint="80"/>
          <w:sz w:val="26"/>
          <w:szCs w:val="26"/>
        </w:rPr>
        <w:t>condenar</w:t>
      </w:r>
      <w:r w:rsidR="008F2DD5" w:rsidRPr="008F2DD5">
        <w:rPr>
          <w:rFonts w:ascii="Calibri" w:hAnsi="Calibri" w:cs="Calibri"/>
          <w:color w:val="7F7F7F" w:themeColor="text1" w:themeTint="80"/>
          <w:sz w:val="26"/>
          <w:szCs w:val="26"/>
        </w:rPr>
        <w:t xml:space="preserve"> a las autoridades demandadas al levantamiento de la clausura referida en el escrito de demanda; ello de conformidad con lo señalado en el Considerando Octavo de esta misma resolución</w:t>
      </w:r>
      <w:r w:rsidR="00181DEE">
        <w:rPr>
          <w:rFonts w:ascii="Calibri" w:hAnsi="Calibri" w:cs="Calibri"/>
          <w:color w:val="7F7F7F" w:themeColor="text1" w:themeTint="80"/>
          <w:sz w:val="26"/>
          <w:szCs w:val="26"/>
        </w:rPr>
        <w:t>. . . . . . . . . . . . . . . . . . . . . . . . . . . . . . . . . . . . . . . . . . . . . . . . . . . . . . . . . . . .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181DEE">
        <w:rPr>
          <w:rFonts w:ascii="Calibri" w:hAnsi="Calibri" w:cs="Arial"/>
          <w:color w:val="7F7F7F" w:themeColor="text1" w:themeTint="80"/>
          <w:sz w:val="26"/>
          <w:szCs w:val="26"/>
        </w:rPr>
        <w:t xml:space="preserve">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r w:rsidR="00181DEE">
        <w:rPr>
          <w:rFonts w:ascii="Calibri" w:hAnsi="Calibri" w:cs="Arial"/>
          <w:color w:val="7F7F7F" w:themeColor="text1" w:themeTint="80"/>
          <w:sz w:val="26"/>
          <w:szCs w:val="26"/>
        </w:rPr>
        <w:t xml:space="preserve"> </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w:t>
      </w:r>
      <w:r w:rsidRPr="00BF5CA7">
        <w:rPr>
          <w:rFonts w:ascii="Calibri" w:hAnsi="Calibri" w:cs="Arial"/>
          <w:color w:val="7F7F7F" w:themeColor="text1" w:themeTint="80"/>
          <w:sz w:val="26"/>
          <w:szCs w:val="26"/>
        </w:rPr>
        <w:lastRenderedPageBreak/>
        <w:t xml:space="preserve">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C0" w:rsidRDefault="00E250C0">
      <w:r>
        <w:separator/>
      </w:r>
    </w:p>
  </w:endnote>
  <w:endnote w:type="continuationSeparator" w:id="0">
    <w:p w:rsidR="00E250C0" w:rsidRDefault="00E2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C0" w:rsidRDefault="00E250C0">
      <w:r>
        <w:separator/>
      </w:r>
    </w:p>
  </w:footnote>
  <w:footnote w:type="continuationSeparator" w:id="0">
    <w:p w:rsidR="00E250C0" w:rsidRDefault="00E25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E250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4318">
      <w:rPr>
        <w:rStyle w:val="Nmerodepgina"/>
        <w:noProof/>
      </w:rPr>
      <w:t>2</w:t>
    </w:r>
    <w:r>
      <w:rPr>
        <w:rStyle w:val="Nmerodepgina"/>
      </w:rPr>
      <w:fldChar w:fldCharType="end"/>
    </w:r>
  </w:p>
  <w:p w:rsidR="00A70119" w:rsidRDefault="00E250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14523"/>
    <w:rsid w:val="000314EF"/>
    <w:rsid w:val="000540AA"/>
    <w:rsid w:val="00074B0E"/>
    <w:rsid w:val="000909AE"/>
    <w:rsid w:val="000954F8"/>
    <w:rsid w:val="000A3417"/>
    <w:rsid w:val="000A4ED3"/>
    <w:rsid w:val="000C6B3D"/>
    <w:rsid w:val="000D6D33"/>
    <w:rsid w:val="000E019D"/>
    <w:rsid w:val="000F12ED"/>
    <w:rsid w:val="00105035"/>
    <w:rsid w:val="00114734"/>
    <w:rsid w:val="00114938"/>
    <w:rsid w:val="00134594"/>
    <w:rsid w:val="00140A1C"/>
    <w:rsid w:val="00150289"/>
    <w:rsid w:val="0016299A"/>
    <w:rsid w:val="00180E1F"/>
    <w:rsid w:val="00181DEE"/>
    <w:rsid w:val="0018462E"/>
    <w:rsid w:val="00187263"/>
    <w:rsid w:val="00193C54"/>
    <w:rsid w:val="001C1EB4"/>
    <w:rsid w:val="001E492B"/>
    <w:rsid w:val="00202A4D"/>
    <w:rsid w:val="00216FD3"/>
    <w:rsid w:val="00231AD0"/>
    <w:rsid w:val="00245DB1"/>
    <w:rsid w:val="00264FD7"/>
    <w:rsid w:val="002802A8"/>
    <w:rsid w:val="002919BC"/>
    <w:rsid w:val="00295DA4"/>
    <w:rsid w:val="002974BB"/>
    <w:rsid w:val="0032392A"/>
    <w:rsid w:val="003239AC"/>
    <w:rsid w:val="00343E70"/>
    <w:rsid w:val="00345365"/>
    <w:rsid w:val="00346D52"/>
    <w:rsid w:val="00355D69"/>
    <w:rsid w:val="00363074"/>
    <w:rsid w:val="0038550B"/>
    <w:rsid w:val="0039786F"/>
    <w:rsid w:val="003A00A0"/>
    <w:rsid w:val="003C319B"/>
    <w:rsid w:val="003D0B6B"/>
    <w:rsid w:val="003D2008"/>
    <w:rsid w:val="0041005A"/>
    <w:rsid w:val="00432706"/>
    <w:rsid w:val="004328C1"/>
    <w:rsid w:val="00436BB1"/>
    <w:rsid w:val="00444761"/>
    <w:rsid w:val="00466CCD"/>
    <w:rsid w:val="0047616C"/>
    <w:rsid w:val="0047708E"/>
    <w:rsid w:val="0049794B"/>
    <w:rsid w:val="004A41DC"/>
    <w:rsid w:val="004B3DFC"/>
    <w:rsid w:val="004C212B"/>
    <w:rsid w:val="004E2B17"/>
    <w:rsid w:val="0055711F"/>
    <w:rsid w:val="00562A66"/>
    <w:rsid w:val="00562F72"/>
    <w:rsid w:val="00567322"/>
    <w:rsid w:val="00577C15"/>
    <w:rsid w:val="005820E3"/>
    <w:rsid w:val="005A1EAD"/>
    <w:rsid w:val="005B2752"/>
    <w:rsid w:val="005C1EF8"/>
    <w:rsid w:val="005D0C38"/>
    <w:rsid w:val="005D15CD"/>
    <w:rsid w:val="005D66A6"/>
    <w:rsid w:val="006071F6"/>
    <w:rsid w:val="00624BEA"/>
    <w:rsid w:val="00633033"/>
    <w:rsid w:val="0064042F"/>
    <w:rsid w:val="00650D2E"/>
    <w:rsid w:val="00651C4B"/>
    <w:rsid w:val="00656D08"/>
    <w:rsid w:val="00684D24"/>
    <w:rsid w:val="00685ED2"/>
    <w:rsid w:val="006B0FF3"/>
    <w:rsid w:val="006B1F26"/>
    <w:rsid w:val="006B6BF7"/>
    <w:rsid w:val="006D41F4"/>
    <w:rsid w:val="006E1F7A"/>
    <w:rsid w:val="006E5AA9"/>
    <w:rsid w:val="006F3DF8"/>
    <w:rsid w:val="006F63DA"/>
    <w:rsid w:val="006F74D0"/>
    <w:rsid w:val="0070292F"/>
    <w:rsid w:val="00706056"/>
    <w:rsid w:val="00711C4D"/>
    <w:rsid w:val="00736742"/>
    <w:rsid w:val="00756D1A"/>
    <w:rsid w:val="00781737"/>
    <w:rsid w:val="00784CB8"/>
    <w:rsid w:val="00791142"/>
    <w:rsid w:val="007926D3"/>
    <w:rsid w:val="00792CFC"/>
    <w:rsid w:val="007B3DCF"/>
    <w:rsid w:val="007D67C9"/>
    <w:rsid w:val="0080464C"/>
    <w:rsid w:val="008063DD"/>
    <w:rsid w:val="00824408"/>
    <w:rsid w:val="008270D4"/>
    <w:rsid w:val="00832B72"/>
    <w:rsid w:val="00833B37"/>
    <w:rsid w:val="00834317"/>
    <w:rsid w:val="00882A95"/>
    <w:rsid w:val="008A53D5"/>
    <w:rsid w:val="008A5D63"/>
    <w:rsid w:val="008B535A"/>
    <w:rsid w:val="008B6F66"/>
    <w:rsid w:val="008C282C"/>
    <w:rsid w:val="008C61C6"/>
    <w:rsid w:val="008E0AB6"/>
    <w:rsid w:val="008F0CF4"/>
    <w:rsid w:val="008F2DD5"/>
    <w:rsid w:val="00920B03"/>
    <w:rsid w:val="009429E2"/>
    <w:rsid w:val="009466BA"/>
    <w:rsid w:val="00951162"/>
    <w:rsid w:val="00951532"/>
    <w:rsid w:val="009661F2"/>
    <w:rsid w:val="00981C36"/>
    <w:rsid w:val="00981D66"/>
    <w:rsid w:val="0098360E"/>
    <w:rsid w:val="00992C9C"/>
    <w:rsid w:val="009964FC"/>
    <w:rsid w:val="009A23DB"/>
    <w:rsid w:val="009A50BE"/>
    <w:rsid w:val="009A69D8"/>
    <w:rsid w:val="009B4FBA"/>
    <w:rsid w:val="009E10FA"/>
    <w:rsid w:val="009E15DC"/>
    <w:rsid w:val="00A007A6"/>
    <w:rsid w:val="00A02F6E"/>
    <w:rsid w:val="00A107AD"/>
    <w:rsid w:val="00A12EF4"/>
    <w:rsid w:val="00A17A21"/>
    <w:rsid w:val="00A217CD"/>
    <w:rsid w:val="00A22410"/>
    <w:rsid w:val="00A2439F"/>
    <w:rsid w:val="00A32EE2"/>
    <w:rsid w:val="00A57007"/>
    <w:rsid w:val="00A82416"/>
    <w:rsid w:val="00A8545F"/>
    <w:rsid w:val="00A97819"/>
    <w:rsid w:val="00A97A65"/>
    <w:rsid w:val="00AB7C8F"/>
    <w:rsid w:val="00AC206B"/>
    <w:rsid w:val="00AC308A"/>
    <w:rsid w:val="00AE1A6F"/>
    <w:rsid w:val="00AE3E7D"/>
    <w:rsid w:val="00AF43CA"/>
    <w:rsid w:val="00B05B82"/>
    <w:rsid w:val="00B427DE"/>
    <w:rsid w:val="00B62D66"/>
    <w:rsid w:val="00B64012"/>
    <w:rsid w:val="00B65360"/>
    <w:rsid w:val="00B75A23"/>
    <w:rsid w:val="00B75DD6"/>
    <w:rsid w:val="00B84554"/>
    <w:rsid w:val="00B91B9B"/>
    <w:rsid w:val="00BB36E8"/>
    <w:rsid w:val="00BC5DA4"/>
    <w:rsid w:val="00BD2BBB"/>
    <w:rsid w:val="00BF0BF6"/>
    <w:rsid w:val="00BF6197"/>
    <w:rsid w:val="00C00F37"/>
    <w:rsid w:val="00C049ED"/>
    <w:rsid w:val="00C10076"/>
    <w:rsid w:val="00C10164"/>
    <w:rsid w:val="00C11C6A"/>
    <w:rsid w:val="00C464F2"/>
    <w:rsid w:val="00C46636"/>
    <w:rsid w:val="00C52860"/>
    <w:rsid w:val="00C53E42"/>
    <w:rsid w:val="00C72228"/>
    <w:rsid w:val="00C73B77"/>
    <w:rsid w:val="00CA2C14"/>
    <w:rsid w:val="00CA2CDC"/>
    <w:rsid w:val="00CC120A"/>
    <w:rsid w:val="00CE396D"/>
    <w:rsid w:val="00CF7B38"/>
    <w:rsid w:val="00D1202C"/>
    <w:rsid w:val="00D14E8F"/>
    <w:rsid w:val="00D30188"/>
    <w:rsid w:val="00D31B99"/>
    <w:rsid w:val="00D4766E"/>
    <w:rsid w:val="00D61484"/>
    <w:rsid w:val="00D77803"/>
    <w:rsid w:val="00D77B11"/>
    <w:rsid w:val="00DB641E"/>
    <w:rsid w:val="00DE0314"/>
    <w:rsid w:val="00DF3DD6"/>
    <w:rsid w:val="00E0072D"/>
    <w:rsid w:val="00E16C1B"/>
    <w:rsid w:val="00E250C0"/>
    <w:rsid w:val="00E31BEB"/>
    <w:rsid w:val="00E409F8"/>
    <w:rsid w:val="00E41CB1"/>
    <w:rsid w:val="00E50512"/>
    <w:rsid w:val="00E508BB"/>
    <w:rsid w:val="00E54AA9"/>
    <w:rsid w:val="00E77635"/>
    <w:rsid w:val="00E83986"/>
    <w:rsid w:val="00E94A72"/>
    <w:rsid w:val="00E950DE"/>
    <w:rsid w:val="00E959B2"/>
    <w:rsid w:val="00E967E5"/>
    <w:rsid w:val="00EA36B8"/>
    <w:rsid w:val="00EA4780"/>
    <w:rsid w:val="00EB2E59"/>
    <w:rsid w:val="00EB6CF0"/>
    <w:rsid w:val="00EC1CF8"/>
    <w:rsid w:val="00EC3871"/>
    <w:rsid w:val="00EC7D6A"/>
    <w:rsid w:val="00ED0305"/>
    <w:rsid w:val="00ED639F"/>
    <w:rsid w:val="00EE0026"/>
    <w:rsid w:val="00EE4318"/>
    <w:rsid w:val="00EE4879"/>
    <w:rsid w:val="00EE6F7D"/>
    <w:rsid w:val="00F125A5"/>
    <w:rsid w:val="00F17643"/>
    <w:rsid w:val="00F43B7C"/>
    <w:rsid w:val="00F52045"/>
    <w:rsid w:val="00F54858"/>
    <w:rsid w:val="00F5770C"/>
    <w:rsid w:val="00F95EF2"/>
    <w:rsid w:val="00FA04C4"/>
    <w:rsid w:val="00FA79FD"/>
    <w:rsid w:val="00FB227A"/>
    <w:rsid w:val="00FB6D86"/>
    <w:rsid w:val="00FB7B8F"/>
    <w:rsid w:val="00FC2718"/>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1841">
      <w:bodyDiv w:val="1"/>
      <w:marLeft w:val="0"/>
      <w:marRight w:val="0"/>
      <w:marTop w:val="0"/>
      <w:marBottom w:val="0"/>
      <w:divBdr>
        <w:top w:val="none" w:sz="0" w:space="0" w:color="auto"/>
        <w:left w:val="none" w:sz="0" w:space="0" w:color="auto"/>
        <w:bottom w:val="none" w:sz="0" w:space="0" w:color="auto"/>
        <w:right w:val="none" w:sz="0" w:space="0" w:color="auto"/>
      </w:divBdr>
    </w:div>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171991843">
      <w:bodyDiv w:val="1"/>
      <w:marLeft w:val="0"/>
      <w:marRight w:val="0"/>
      <w:marTop w:val="0"/>
      <w:marBottom w:val="0"/>
      <w:divBdr>
        <w:top w:val="none" w:sz="0" w:space="0" w:color="auto"/>
        <w:left w:val="none" w:sz="0" w:space="0" w:color="auto"/>
        <w:bottom w:val="none" w:sz="0" w:space="0" w:color="auto"/>
        <w:right w:val="none" w:sz="0" w:space="0" w:color="auto"/>
      </w:divBdr>
    </w:div>
    <w:div w:id="27834447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775175262">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4285</Words>
  <Characters>23570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2017-04-28T15:52:00Z</dcterms:created>
  <dcterms:modified xsi:type="dcterms:W3CDTF">2017-04-28T15:52:00Z</dcterms:modified>
</cp:coreProperties>
</file>